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ajorHAnsi" w:eastAsiaTheme="majorEastAsia" w:hAnsiTheme="majorHAnsi" w:cstheme="majorBidi"/>
          <w:bCs/>
          <w:color w:val="2F5773" w:themeColor="text2"/>
          <w:sz w:val="12"/>
          <w:szCs w:val="22"/>
          <w:lang w:val="en-US"/>
        </w:rPr>
        <w:id w:val="2126582917"/>
        <w:docPartObj>
          <w:docPartGallery w:val="Cover Pages"/>
          <w:docPartUnique/>
        </w:docPartObj>
      </w:sdtPr>
      <w:sdtEndPr>
        <w:rPr>
          <w:sz w:val="32"/>
          <w:szCs w:val="24"/>
        </w:rPr>
      </w:sdtEndPr>
      <w:sdtContent>
        <w:p w:rsidR="00E00BB5" w:rsidRPr="008C64DC" w:rsidRDefault="00E00BB5" w:rsidP="00E00BB5"/>
        <w:p w:rsidR="00E00BB5" w:rsidRPr="008C64DC" w:rsidRDefault="00442CB9" w:rsidP="00E00BB5">
          <w:pPr>
            <w:pStyle w:val="Titlelevel1"/>
            <w:rPr>
              <w:lang w:val="en-GB"/>
            </w:rPr>
          </w:pPr>
          <w:r>
            <w:rPr>
              <w:lang w:val="en-GB"/>
            </w:rPr>
            <w:t>Spread Research</w:t>
          </w:r>
        </w:p>
      </w:sdtContent>
    </w:sdt>
    <w:p w:rsidR="00E00BB5" w:rsidRDefault="00626561" w:rsidP="000D7C80">
      <w:pPr>
        <w:pStyle w:val="Numberedtitlelevel2"/>
        <w:ind w:left="357" w:hanging="357"/>
        <w:outlineLvl w:val="0"/>
      </w:pPr>
      <w:r>
        <w:t xml:space="preserve">SR </w:t>
      </w:r>
      <w:r w:rsidR="00AF2077">
        <w:t>c</w:t>
      </w:r>
      <w:r w:rsidR="004E160A" w:rsidRPr="004E160A">
        <w:t>redit ratings and rating scales</w:t>
      </w:r>
    </w:p>
    <w:p w:rsidR="003E62AD" w:rsidRDefault="00626561" w:rsidP="00626561">
      <w:pPr>
        <w:pStyle w:val="numberedparagraph"/>
      </w:pPr>
      <w:r>
        <w:t>SR</w:t>
      </w:r>
      <w:r w:rsidR="001A236F">
        <w:t xml:space="preserve"> produces</w:t>
      </w:r>
      <w:r w:rsidR="001A236F" w:rsidRPr="0036715E">
        <w:t xml:space="preserve"> </w:t>
      </w:r>
      <w:r w:rsidR="003E62AD">
        <w:t>a variety</w:t>
      </w:r>
      <w:r w:rsidR="004268D8">
        <w:t xml:space="preserve"> of </w:t>
      </w:r>
      <w:r w:rsidR="001A236F">
        <w:t>credit ratings</w:t>
      </w:r>
      <w:r w:rsidR="004268D8">
        <w:t xml:space="preserve">, </w:t>
      </w:r>
      <w:r>
        <w:t xml:space="preserve">shown in </w:t>
      </w:r>
      <w:r w:rsidR="001A236F">
        <w:t xml:space="preserve">Column 2 of </w:t>
      </w:r>
      <w:r w:rsidR="002B6F3D">
        <w:fldChar w:fldCharType="begin"/>
      </w:r>
      <w:r w:rsidR="002B6F3D">
        <w:instrText xml:space="preserve"> REF _Ref384801505 \h </w:instrText>
      </w:r>
      <w:r w:rsidR="002B6F3D">
        <w:fldChar w:fldCharType="separate"/>
      </w:r>
      <w:r w:rsidR="006B4F99" w:rsidRPr="0041788D">
        <w:rPr>
          <w:szCs w:val="22"/>
        </w:rPr>
        <w:t xml:space="preserve">Figure </w:t>
      </w:r>
      <w:r w:rsidR="006B4F99">
        <w:rPr>
          <w:noProof/>
          <w:szCs w:val="22"/>
        </w:rPr>
        <w:t>2</w:t>
      </w:r>
      <w:r w:rsidR="002B6F3D">
        <w:fldChar w:fldCharType="end"/>
      </w:r>
      <w:r w:rsidR="001A236F">
        <w:t xml:space="preserve"> in </w:t>
      </w:r>
      <w:r w:rsidR="002B6F3D">
        <w:t>Appendix</w:t>
      </w:r>
      <w:r>
        <w:t> </w:t>
      </w:r>
      <w:r w:rsidR="001A236F">
        <w:t>1</w:t>
      </w:r>
      <w:r>
        <w:t xml:space="preserve">. </w:t>
      </w:r>
      <w:r w:rsidR="006634CD">
        <w:t xml:space="preserve">These </w:t>
      </w:r>
      <w:r w:rsidR="001A236F">
        <w:t>credit rating</w:t>
      </w:r>
      <w:r w:rsidR="006634CD">
        <w:t>s</w:t>
      </w:r>
      <w:r w:rsidR="001A236F">
        <w:t xml:space="preserve"> may be used by institutions for the calculation of risk weights under the Standardised Approach (SA)</w:t>
      </w:r>
      <w:r w:rsidR="001A236F">
        <w:rPr>
          <w:rStyle w:val="FootnoteReference"/>
        </w:rPr>
        <w:footnoteReference w:id="2"/>
      </w:r>
      <w:r w:rsidR="003E62AD">
        <w:t>:</w:t>
      </w:r>
    </w:p>
    <w:p w:rsidR="003E62AD" w:rsidRDefault="003E62AD" w:rsidP="00E77AC4">
      <w:pPr>
        <w:pStyle w:val="numberedparagraph"/>
        <w:numPr>
          <w:ilvl w:val="0"/>
          <w:numId w:val="54"/>
        </w:numPr>
      </w:pPr>
      <w:r w:rsidRPr="002754A0">
        <w:rPr>
          <w:b/>
        </w:rPr>
        <w:t>Long-term issuer rating</w:t>
      </w:r>
      <w:r w:rsidRPr="0069105D">
        <w:rPr>
          <w:b/>
        </w:rPr>
        <w:t>,</w:t>
      </w:r>
      <w:r w:rsidRPr="00E55EAE">
        <w:t xml:space="preserve"> defined as </w:t>
      </w:r>
      <w:r>
        <w:t>measure of the future credit quality of an issuer that is closely linked to a Probability of Default (and not an Expected Loss).</w:t>
      </w:r>
    </w:p>
    <w:p w:rsidR="003E62AD" w:rsidRPr="00E55EAE" w:rsidRDefault="003E62AD" w:rsidP="004602B2">
      <w:pPr>
        <w:pStyle w:val="numberedparagraph"/>
        <w:numPr>
          <w:ilvl w:val="0"/>
          <w:numId w:val="54"/>
        </w:numPr>
        <w:rPr>
          <w:b/>
        </w:rPr>
      </w:pPr>
      <w:r w:rsidRPr="0032579A">
        <w:rPr>
          <w:b/>
        </w:rPr>
        <w:t xml:space="preserve">Long-term </w:t>
      </w:r>
      <w:r>
        <w:rPr>
          <w:b/>
        </w:rPr>
        <w:t>obligation</w:t>
      </w:r>
      <w:r w:rsidRPr="0032579A">
        <w:rPr>
          <w:b/>
        </w:rPr>
        <w:t xml:space="preserve"> </w:t>
      </w:r>
      <w:r w:rsidRPr="0006564E">
        <w:rPr>
          <w:b/>
        </w:rPr>
        <w:t>rating</w:t>
      </w:r>
      <w:r w:rsidRPr="0069105D">
        <w:rPr>
          <w:b/>
        </w:rPr>
        <w:t xml:space="preserve">, </w:t>
      </w:r>
      <w:r w:rsidRPr="004602B2">
        <w:t>which is derived from the issuer long term rating on which a notching is applied to a specific debt instrument. This rating takes into consideration a recovery rate in order to capture a loss given a default rate.</w:t>
      </w:r>
    </w:p>
    <w:p w:rsidR="003E62AD" w:rsidRPr="00E77AC4" w:rsidRDefault="003E62AD" w:rsidP="004602B2">
      <w:pPr>
        <w:pStyle w:val="numberedparagraph"/>
        <w:numPr>
          <w:ilvl w:val="0"/>
          <w:numId w:val="54"/>
        </w:numPr>
        <w:rPr>
          <w:b/>
        </w:rPr>
      </w:pPr>
      <w:r w:rsidRPr="00E77AC4">
        <w:rPr>
          <w:b/>
        </w:rPr>
        <w:t xml:space="preserve">Short-term issuer rating, </w:t>
      </w:r>
      <w:r w:rsidRPr="004602B2">
        <w:t>which is a measure of the future credit quality of an issuer that is closely linked to a Probability of Default within a 12 to 15 months period of time.</w:t>
      </w:r>
    </w:p>
    <w:p w:rsidR="003E62AD" w:rsidRPr="00E77AC4" w:rsidRDefault="003E62AD" w:rsidP="004602B2">
      <w:pPr>
        <w:pStyle w:val="numberedparagraph"/>
        <w:numPr>
          <w:ilvl w:val="0"/>
          <w:numId w:val="54"/>
        </w:numPr>
        <w:rPr>
          <w:b/>
        </w:rPr>
      </w:pPr>
      <w:r w:rsidRPr="00E77AC4">
        <w:rPr>
          <w:b/>
        </w:rPr>
        <w:t>Short-term obligation rating,</w:t>
      </w:r>
      <w:r w:rsidRPr="004602B2">
        <w:t xml:space="preserve"> which is derived from the issuer short term rating on which a notching is applied to a specific debt instrument. This rating takes into consideration a recovery rate in order to capture a loss given a default rate.</w:t>
      </w:r>
    </w:p>
    <w:p w:rsidR="001A236F" w:rsidRDefault="00626561" w:rsidP="002C35DD">
      <w:pPr>
        <w:pStyle w:val="numberedparagraph"/>
      </w:pPr>
      <w:r>
        <w:t>SR</w:t>
      </w:r>
      <w:r w:rsidR="001A236F">
        <w:t xml:space="preserve"> assigns these credit ratings to </w:t>
      </w:r>
      <w:r>
        <w:t xml:space="preserve">the </w:t>
      </w:r>
      <w:r w:rsidR="006916D9">
        <w:t>Global</w:t>
      </w:r>
      <w:r w:rsidRPr="00E77AC4">
        <w:t xml:space="preserve"> long-term rating scale</w:t>
      </w:r>
      <w:r w:rsidR="006B4F99" w:rsidRPr="00E77AC4">
        <w:t xml:space="preserve"> and to the </w:t>
      </w:r>
      <w:r w:rsidR="006916D9">
        <w:t>Global</w:t>
      </w:r>
      <w:r w:rsidR="006B4F99" w:rsidRPr="00E77AC4">
        <w:t xml:space="preserve"> short-term rating scale</w:t>
      </w:r>
      <w:r>
        <w:t>,</w:t>
      </w:r>
      <w:r w:rsidRPr="00626561">
        <w:t xml:space="preserve"> </w:t>
      </w:r>
      <w:r w:rsidR="001A236F">
        <w:t xml:space="preserve">as illustrated in column 3 of </w:t>
      </w:r>
      <w:r w:rsidR="00D50FFD">
        <w:fldChar w:fldCharType="begin"/>
      </w:r>
      <w:r w:rsidR="00D50FFD">
        <w:instrText xml:space="preserve"> REF _Ref384801505 \h </w:instrText>
      </w:r>
      <w:r w:rsidR="00D50FFD">
        <w:fldChar w:fldCharType="separate"/>
      </w:r>
      <w:r w:rsidR="006B4F99" w:rsidRPr="0041788D">
        <w:rPr>
          <w:szCs w:val="22"/>
        </w:rPr>
        <w:t xml:space="preserve">Figure </w:t>
      </w:r>
      <w:r w:rsidR="006B4F99">
        <w:rPr>
          <w:noProof/>
          <w:szCs w:val="22"/>
        </w:rPr>
        <w:t>2</w:t>
      </w:r>
      <w:r w:rsidR="00D50FFD">
        <w:fldChar w:fldCharType="end"/>
      </w:r>
      <w:r w:rsidR="001A236F">
        <w:t xml:space="preserve"> in </w:t>
      </w:r>
      <w:r w:rsidR="002B6F3D">
        <w:t>Appendi</w:t>
      </w:r>
      <w:bookmarkStart w:id="0" w:name="_GoBack"/>
      <w:bookmarkEnd w:id="0"/>
      <w:r w:rsidR="002B6F3D">
        <w:t>x</w:t>
      </w:r>
      <w:r w:rsidR="001A236F">
        <w:t xml:space="preserve"> 1. </w:t>
      </w:r>
    </w:p>
    <w:p w:rsidR="00BC4342" w:rsidRDefault="00BC4342" w:rsidP="00E77AC4">
      <w:pPr>
        <w:pStyle w:val="numberedparagraph"/>
        <w:numPr>
          <w:ilvl w:val="0"/>
          <w:numId w:val="0"/>
        </w:numPr>
        <w:ind w:left="284" w:hanging="284"/>
        <w:sectPr w:rsidR="00BC4342" w:rsidSect="002D1D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2268" w:right="1418" w:bottom="1134" w:left="1701" w:header="709" w:footer="709" w:gutter="0"/>
          <w:cols w:space="708"/>
          <w:docGrid w:linePitch="299"/>
        </w:sectPr>
      </w:pPr>
    </w:p>
    <w:p w:rsidR="00F434D1" w:rsidRPr="00BE6527" w:rsidRDefault="00F434D1" w:rsidP="000D7C80">
      <w:pPr>
        <w:pStyle w:val="Titlelevel2"/>
        <w:outlineLvl w:val="0"/>
      </w:pPr>
      <w:r w:rsidRPr="00BE6527">
        <w:lastRenderedPageBreak/>
        <w:t xml:space="preserve">Appendix 1: </w:t>
      </w:r>
      <w:r w:rsidRPr="00BE6527">
        <w:tab/>
        <w:t>Credit ratings and rating scales</w:t>
      </w:r>
    </w:p>
    <w:p w:rsidR="00892B01" w:rsidRDefault="0041788D" w:rsidP="00C45D4A">
      <w:pPr>
        <w:pStyle w:val="Figuretitle"/>
      </w:pPr>
      <w:bookmarkStart w:id="1" w:name="_Ref384801505"/>
      <w:bookmarkStart w:id="2" w:name="_Toc239218820"/>
      <w:bookmarkStart w:id="3" w:name="_Toc239234626"/>
      <w:r w:rsidRPr="0041788D">
        <w:rPr>
          <w:szCs w:val="22"/>
        </w:rPr>
        <w:t xml:space="preserve">Figure </w:t>
      </w:r>
      <w:r w:rsidRPr="0041788D">
        <w:rPr>
          <w:szCs w:val="22"/>
        </w:rPr>
        <w:fldChar w:fldCharType="begin"/>
      </w:r>
      <w:r w:rsidRPr="0041788D">
        <w:rPr>
          <w:szCs w:val="22"/>
        </w:rPr>
        <w:instrText xml:space="preserve"> SEQ Figure \* ARABIC </w:instrText>
      </w:r>
      <w:r w:rsidRPr="0041788D">
        <w:rPr>
          <w:szCs w:val="22"/>
        </w:rPr>
        <w:fldChar w:fldCharType="separate"/>
      </w:r>
      <w:r w:rsidR="006B4F99">
        <w:rPr>
          <w:szCs w:val="22"/>
        </w:rPr>
        <w:t>2</w:t>
      </w:r>
      <w:r w:rsidRPr="0041788D">
        <w:rPr>
          <w:szCs w:val="22"/>
        </w:rPr>
        <w:fldChar w:fldCharType="end"/>
      </w:r>
      <w:bookmarkEnd w:id="1"/>
      <w:r w:rsidRPr="0041788D">
        <w:rPr>
          <w:szCs w:val="22"/>
        </w:rPr>
        <w:t>:</w:t>
      </w:r>
      <w:bookmarkEnd w:id="2"/>
      <w:bookmarkEnd w:id="3"/>
      <w:r w:rsidR="007A606E">
        <w:rPr>
          <w:szCs w:val="22"/>
        </w:rPr>
        <w:t xml:space="preserve"> SR</w:t>
      </w:r>
      <w:r w:rsidR="00892B01" w:rsidRPr="00892B01">
        <w:t>’s relevant credit ratings and rating scales</w:t>
      </w:r>
    </w:p>
    <w:tbl>
      <w:tblPr>
        <w:tblStyle w:val="EBAtable"/>
        <w:tblW w:w="11845" w:type="dxa"/>
        <w:tblLayout w:type="fixed"/>
        <w:tblLook w:val="04A0" w:firstRow="1" w:lastRow="0" w:firstColumn="1" w:lastColumn="0" w:noHBand="0" w:noVBand="1"/>
      </w:tblPr>
      <w:tblGrid>
        <w:gridCol w:w="4023"/>
        <w:gridCol w:w="4098"/>
        <w:gridCol w:w="3724"/>
      </w:tblGrid>
      <w:tr w:rsidR="00892B01" w:rsidRPr="00612352" w:rsidTr="00E111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23" w:type="dxa"/>
          </w:tcPr>
          <w:p w:rsidR="00892B01" w:rsidRPr="00612352" w:rsidRDefault="00892B01" w:rsidP="00245FF8">
            <w:pPr>
              <w:pStyle w:val="Tableheader"/>
              <w:rPr>
                <w:lang w:val="en-GB"/>
              </w:rPr>
            </w:pPr>
            <w:r w:rsidRPr="00892B01">
              <w:t>SA exposure classes</w:t>
            </w:r>
          </w:p>
        </w:tc>
        <w:tc>
          <w:tcPr>
            <w:tcW w:w="4098" w:type="dxa"/>
          </w:tcPr>
          <w:p w:rsidR="00892B01" w:rsidRPr="00612352" w:rsidRDefault="00892B01" w:rsidP="00245FF8">
            <w:pPr>
              <w:pStyle w:val="Tableheader"/>
              <w:rPr>
                <w:lang w:val="en-GB"/>
              </w:rPr>
            </w:pPr>
            <w:r w:rsidRPr="00892B01">
              <w:rPr>
                <w:lang w:val="en-GB"/>
              </w:rPr>
              <w:t>Name of credit rating</w:t>
            </w:r>
          </w:p>
        </w:tc>
        <w:tc>
          <w:tcPr>
            <w:tcW w:w="3724" w:type="dxa"/>
          </w:tcPr>
          <w:p w:rsidR="00892B01" w:rsidRPr="00612352" w:rsidRDefault="00892B01" w:rsidP="00245FF8">
            <w:pPr>
              <w:pStyle w:val="Tableheader"/>
              <w:rPr>
                <w:lang w:val="en-GB"/>
              </w:rPr>
            </w:pPr>
            <w:r w:rsidRPr="00892B01">
              <w:t>Credit rating scale</w:t>
            </w:r>
          </w:p>
        </w:tc>
      </w:tr>
      <w:tr w:rsidR="00892B01" w:rsidRPr="00612352" w:rsidTr="007A606E">
        <w:tc>
          <w:tcPr>
            <w:tcW w:w="4023" w:type="dxa"/>
            <w:tcBorders>
              <w:bottom w:val="single" w:sz="2" w:space="0" w:color="000000" w:themeColor="text1"/>
            </w:tcBorders>
            <w:vAlign w:val="top"/>
          </w:tcPr>
          <w:p w:rsidR="00892B01" w:rsidRPr="00892B01" w:rsidRDefault="00892B01" w:rsidP="00245FF8">
            <w:pPr>
              <w:spacing w:before="120" w:after="120"/>
              <w:rPr>
                <w:b/>
              </w:rPr>
            </w:pPr>
            <w:r w:rsidRPr="00892B01">
              <w:rPr>
                <w:b/>
              </w:rPr>
              <w:t>Long-term ratings</w:t>
            </w:r>
          </w:p>
        </w:tc>
        <w:tc>
          <w:tcPr>
            <w:tcW w:w="4098" w:type="dxa"/>
            <w:tcBorders>
              <w:bottom w:val="single" w:sz="2" w:space="0" w:color="000000" w:themeColor="text1"/>
            </w:tcBorders>
            <w:vAlign w:val="top"/>
          </w:tcPr>
          <w:p w:rsidR="00892B01" w:rsidRPr="0002510A" w:rsidRDefault="00892B01" w:rsidP="00245FF8">
            <w:pPr>
              <w:spacing w:before="120" w:after="120"/>
            </w:pPr>
          </w:p>
        </w:tc>
        <w:tc>
          <w:tcPr>
            <w:tcW w:w="3724" w:type="dxa"/>
            <w:tcBorders>
              <w:bottom w:val="single" w:sz="2" w:space="0" w:color="000000" w:themeColor="text1"/>
            </w:tcBorders>
            <w:vAlign w:val="top"/>
          </w:tcPr>
          <w:p w:rsidR="00892B01" w:rsidRDefault="00892B01" w:rsidP="00245FF8">
            <w:pPr>
              <w:spacing w:before="120" w:after="120"/>
            </w:pPr>
          </w:p>
        </w:tc>
      </w:tr>
      <w:tr w:rsidR="007A606E" w:rsidRPr="00612352" w:rsidTr="00E77AC4">
        <w:tc>
          <w:tcPr>
            <w:tcW w:w="4023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top"/>
          </w:tcPr>
          <w:p w:rsidR="007A606E" w:rsidRPr="00E77AC4" w:rsidRDefault="007A606E" w:rsidP="007A606E">
            <w:pPr>
              <w:spacing w:before="120" w:after="120"/>
            </w:pPr>
            <w:r w:rsidRPr="00E77AC4">
              <w:t>Corporates</w:t>
            </w:r>
          </w:p>
        </w:tc>
        <w:tc>
          <w:tcPr>
            <w:tcW w:w="409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top"/>
          </w:tcPr>
          <w:p w:rsidR="007A606E" w:rsidRPr="00E77AC4" w:rsidRDefault="006634CD" w:rsidP="00E77AC4">
            <w:pPr>
              <w:spacing w:before="120" w:after="120"/>
            </w:pPr>
            <w:r w:rsidRPr="00E77AC4">
              <w:t xml:space="preserve">Long-term </w:t>
            </w:r>
            <w:r w:rsidR="006916D9">
              <w:t>issuer</w:t>
            </w:r>
            <w:r w:rsidR="007A606E" w:rsidRPr="00E77AC4">
              <w:t xml:space="preserve"> rating</w:t>
            </w:r>
          </w:p>
        </w:tc>
        <w:tc>
          <w:tcPr>
            <w:tcW w:w="372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top"/>
          </w:tcPr>
          <w:p w:rsidR="007A606E" w:rsidRPr="00E77AC4" w:rsidRDefault="006916D9" w:rsidP="007A606E">
            <w:pPr>
              <w:spacing w:before="120" w:after="120"/>
            </w:pPr>
            <w:r w:rsidRPr="00E77AC4">
              <w:t>Global</w:t>
            </w:r>
            <w:r w:rsidR="007A606E" w:rsidRPr="00E77AC4">
              <w:t xml:space="preserve"> long-term rating scale</w:t>
            </w:r>
          </w:p>
        </w:tc>
      </w:tr>
      <w:tr w:rsidR="006916D9" w:rsidRPr="00612352" w:rsidTr="006634CD">
        <w:tc>
          <w:tcPr>
            <w:tcW w:w="4023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top"/>
          </w:tcPr>
          <w:p w:rsidR="006916D9" w:rsidRPr="00E77AC4" w:rsidRDefault="006916D9" w:rsidP="007A606E">
            <w:pPr>
              <w:spacing w:before="120" w:after="120"/>
            </w:pPr>
            <w:r w:rsidRPr="0051230C">
              <w:t>Corporates</w:t>
            </w:r>
          </w:p>
        </w:tc>
        <w:tc>
          <w:tcPr>
            <w:tcW w:w="409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top"/>
          </w:tcPr>
          <w:p w:rsidR="006916D9" w:rsidRPr="00E77AC4" w:rsidRDefault="006916D9" w:rsidP="00E77AC4">
            <w:pPr>
              <w:spacing w:before="120" w:after="120"/>
            </w:pPr>
            <w:r w:rsidRPr="0051230C">
              <w:t xml:space="preserve">Long-term </w:t>
            </w:r>
            <w:r>
              <w:t>obligation</w:t>
            </w:r>
            <w:r w:rsidRPr="0051230C">
              <w:t xml:space="preserve"> rating</w:t>
            </w:r>
          </w:p>
        </w:tc>
        <w:tc>
          <w:tcPr>
            <w:tcW w:w="372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top"/>
          </w:tcPr>
          <w:p w:rsidR="006916D9" w:rsidRPr="00E77AC4" w:rsidDel="006916D9" w:rsidRDefault="006916D9" w:rsidP="007A606E">
            <w:pPr>
              <w:spacing w:before="120" w:after="120"/>
            </w:pPr>
            <w:r w:rsidRPr="0051230C">
              <w:t>Global long-term rating scale</w:t>
            </w:r>
          </w:p>
        </w:tc>
      </w:tr>
      <w:tr w:rsidR="006916D9" w:rsidRPr="00612352" w:rsidTr="00825BB4">
        <w:tc>
          <w:tcPr>
            <w:tcW w:w="4023" w:type="dxa"/>
            <w:tcBorders>
              <w:bottom w:val="single" w:sz="2" w:space="0" w:color="000000" w:themeColor="text1"/>
            </w:tcBorders>
            <w:vAlign w:val="top"/>
          </w:tcPr>
          <w:p w:rsidR="006916D9" w:rsidRPr="00E77AC4" w:rsidRDefault="006916D9" w:rsidP="00825BB4">
            <w:pPr>
              <w:spacing w:before="120" w:after="120"/>
              <w:rPr>
                <w:b/>
              </w:rPr>
            </w:pPr>
            <w:r w:rsidRPr="00E77AC4">
              <w:rPr>
                <w:b/>
              </w:rPr>
              <w:t>Short-term ratings</w:t>
            </w:r>
          </w:p>
        </w:tc>
        <w:tc>
          <w:tcPr>
            <w:tcW w:w="4098" w:type="dxa"/>
            <w:tcBorders>
              <w:bottom w:val="single" w:sz="2" w:space="0" w:color="000000" w:themeColor="text1"/>
            </w:tcBorders>
            <w:vAlign w:val="top"/>
          </w:tcPr>
          <w:p w:rsidR="006916D9" w:rsidRPr="00E77AC4" w:rsidRDefault="006916D9" w:rsidP="00825BB4">
            <w:pPr>
              <w:spacing w:before="120" w:after="120"/>
            </w:pPr>
          </w:p>
        </w:tc>
        <w:tc>
          <w:tcPr>
            <w:tcW w:w="3724" w:type="dxa"/>
            <w:tcBorders>
              <w:bottom w:val="single" w:sz="2" w:space="0" w:color="000000" w:themeColor="text1"/>
            </w:tcBorders>
            <w:vAlign w:val="top"/>
          </w:tcPr>
          <w:p w:rsidR="006916D9" w:rsidRPr="00E77AC4" w:rsidRDefault="006916D9" w:rsidP="00825BB4">
            <w:pPr>
              <w:spacing w:before="120" w:after="120"/>
            </w:pPr>
          </w:p>
        </w:tc>
      </w:tr>
      <w:tr w:rsidR="006916D9" w:rsidRPr="00612352" w:rsidTr="00825BB4">
        <w:tc>
          <w:tcPr>
            <w:tcW w:w="4023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top"/>
          </w:tcPr>
          <w:p w:rsidR="006916D9" w:rsidRPr="00E77AC4" w:rsidRDefault="006916D9" w:rsidP="00825BB4">
            <w:pPr>
              <w:spacing w:before="120" w:after="120"/>
            </w:pPr>
            <w:r w:rsidRPr="00E77AC4">
              <w:t>Corporates</w:t>
            </w:r>
          </w:p>
        </w:tc>
        <w:tc>
          <w:tcPr>
            <w:tcW w:w="409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top"/>
          </w:tcPr>
          <w:p w:rsidR="006916D9" w:rsidRPr="00E77AC4" w:rsidRDefault="006916D9" w:rsidP="001E3601">
            <w:pPr>
              <w:spacing w:before="120" w:after="120"/>
            </w:pPr>
            <w:r>
              <w:t>Short</w:t>
            </w:r>
            <w:r w:rsidRPr="0051230C">
              <w:t xml:space="preserve">-term </w:t>
            </w:r>
            <w:r>
              <w:t>issuer</w:t>
            </w:r>
            <w:r w:rsidRPr="0051230C">
              <w:t xml:space="preserve"> rating</w:t>
            </w:r>
          </w:p>
        </w:tc>
        <w:tc>
          <w:tcPr>
            <w:tcW w:w="372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top"/>
          </w:tcPr>
          <w:p w:rsidR="006916D9" w:rsidRPr="00E77AC4" w:rsidRDefault="006916D9">
            <w:pPr>
              <w:spacing w:before="120" w:after="120"/>
            </w:pPr>
            <w:r w:rsidRPr="00E77AC4">
              <w:t>Global short-term rating scale</w:t>
            </w:r>
          </w:p>
        </w:tc>
      </w:tr>
      <w:tr w:rsidR="006916D9" w:rsidRPr="00612352" w:rsidTr="004A383B">
        <w:tc>
          <w:tcPr>
            <w:tcW w:w="4023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top"/>
          </w:tcPr>
          <w:p w:rsidR="006916D9" w:rsidRPr="0051230C" w:rsidRDefault="006916D9" w:rsidP="004A383B">
            <w:pPr>
              <w:spacing w:before="120" w:after="120"/>
            </w:pPr>
            <w:r w:rsidRPr="0051230C">
              <w:t>Corporates</w:t>
            </w:r>
          </w:p>
        </w:tc>
        <w:tc>
          <w:tcPr>
            <w:tcW w:w="409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top"/>
          </w:tcPr>
          <w:p w:rsidR="006916D9" w:rsidRPr="0051230C" w:rsidRDefault="006916D9" w:rsidP="004A383B">
            <w:pPr>
              <w:spacing w:before="120" w:after="120"/>
            </w:pPr>
            <w:r>
              <w:t>Short</w:t>
            </w:r>
            <w:r w:rsidRPr="0051230C">
              <w:t xml:space="preserve">-term </w:t>
            </w:r>
            <w:r>
              <w:t>obligation</w:t>
            </w:r>
            <w:r w:rsidRPr="0051230C">
              <w:t xml:space="preserve"> rating</w:t>
            </w:r>
          </w:p>
        </w:tc>
        <w:tc>
          <w:tcPr>
            <w:tcW w:w="372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top"/>
          </w:tcPr>
          <w:p w:rsidR="006916D9" w:rsidRPr="0051230C" w:rsidRDefault="006916D9" w:rsidP="004A383B">
            <w:pPr>
              <w:spacing w:before="120" w:after="120"/>
            </w:pPr>
            <w:r w:rsidRPr="0051230C">
              <w:t>Global short-term rating scale</w:t>
            </w:r>
          </w:p>
        </w:tc>
      </w:tr>
    </w:tbl>
    <w:p w:rsidR="00175032" w:rsidRDefault="007A606E" w:rsidP="0074573B">
      <w:pPr>
        <w:pStyle w:val="FootnoteText"/>
      </w:pPr>
      <w:r>
        <w:t>Source: Spread Research</w:t>
      </w:r>
    </w:p>
    <w:p w:rsidR="00771AF1" w:rsidRDefault="00771AF1" w:rsidP="00771AF1">
      <w:pPr>
        <w:pStyle w:val="Figuretitle"/>
        <w:sectPr w:rsidR="00771AF1" w:rsidSect="00E219F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40" w:h="11900" w:orient="landscape"/>
          <w:pgMar w:top="1701" w:right="2268" w:bottom="1418" w:left="1134" w:header="709" w:footer="709" w:gutter="0"/>
          <w:cols w:space="708"/>
          <w:titlePg/>
          <w:docGrid w:linePitch="299"/>
        </w:sectPr>
      </w:pPr>
    </w:p>
    <w:p w:rsidR="00245FF8" w:rsidRPr="003B1591" w:rsidRDefault="0041788D">
      <w:pPr>
        <w:pStyle w:val="Figuretitle"/>
      </w:pPr>
      <w:bookmarkStart w:id="4" w:name="_Ref384802193"/>
      <w:r w:rsidRPr="0041788D">
        <w:rPr>
          <w:szCs w:val="22"/>
        </w:rPr>
        <w:lastRenderedPageBreak/>
        <w:t xml:space="preserve">Figure </w:t>
      </w:r>
      <w:r w:rsidRPr="0041788D">
        <w:rPr>
          <w:szCs w:val="22"/>
        </w:rPr>
        <w:fldChar w:fldCharType="begin"/>
      </w:r>
      <w:r w:rsidRPr="0041788D">
        <w:rPr>
          <w:szCs w:val="22"/>
        </w:rPr>
        <w:instrText xml:space="preserve"> SEQ Figure \* ARABIC </w:instrText>
      </w:r>
      <w:r w:rsidRPr="0041788D">
        <w:rPr>
          <w:szCs w:val="22"/>
        </w:rPr>
        <w:fldChar w:fldCharType="separate"/>
      </w:r>
      <w:r w:rsidR="006B4F99">
        <w:rPr>
          <w:szCs w:val="22"/>
        </w:rPr>
        <w:t>3</w:t>
      </w:r>
      <w:r w:rsidRPr="0041788D">
        <w:rPr>
          <w:szCs w:val="22"/>
        </w:rPr>
        <w:fldChar w:fldCharType="end"/>
      </w:r>
      <w:bookmarkEnd w:id="4"/>
      <w:r w:rsidR="00B32405">
        <w:t>:</w:t>
      </w:r>
      <w:r w:rsidR="00245FF8" w:rsidRPr="003B1591">
        <w:t xml:space="preserve"> </w:t>
      </w:r>
      <w:r w:rsidR="006916D9">
        <w:t>Global</w:t>
      </w:r>
      <w:r w:rsidR="007A606E" w:rsidRPr="002033F9">
        <w:t xml:space="preserve"> </w:t>
      </w:r>
      <w:r w:rsidR="007A606E">
        <w:t xml:space="preserve">long-term </w:t>
      </w:r>
      <w:r w:rsidR="007A606E" w:rsidRPr="002033F9">
        <w:t>rating scale</w:t>
      </w:r>
      <w:r w:rsidR="007A606E" w:rsidRPr="003B1591">
        <w:t xml:space="preserve"> </w:t>
      </w:r>
    </w:p>
    <w:tbl>
      <w:tblPr>
        <w:tblStyle w:val="TableGrid"/>
        <w:tblW w:w="12333" w:type="dxa"/>
        <w:tblInd w:w="108" w:type="dxa"/>
        <w:tblLook w:val="04A0" w:firstRow="1" w:lastRow="0" w:firstColumn="1" w:lastColumn="0" w:noHBand="0" w:noVBand="1"/>
      </w:tblPr>
      <w:tblGrid>
        <w:gridCol w:w="1418"/>
        <w:gridCol w:w="10915"/>
      </w:tblGrid>
      <w:tr w:rsidR="00245FF8" w:rsidRPr="00245FF8" w:rsidTr="008702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5"/>
        </w:trPr>
        <w:tc>
          <w:tcPr>
            <w:tcW w:w="1418" w:type="dxa"/>
            <w:tcBorders>
              <w:bottom w:val="single" w:sz="18" w:space="0" w:color="E98E31" w:themeColor="background2"/>
            </w:tcBorders>
          </w:tcPr>
          <w:p w:rsidR="00245FF8" w:rsidRPr="00245FF8" w:rsidRDefault="00245FF8" w:rsidP="008404CE">
            <w:pPr>
              <w:pStyle w:val="Tableheader"/>
              <w:spacing w:before="120" w:after="120"/>
              <w:jc w:val="center"/>
              <w:rPr>
                <w:bCs w:val="0"/>
              </w:rPr>
            </w:pPr>
            <w:r w:rsidRPr="00245FF8">
              <w:rPr>
                <w:bCs w:val="0"/>
              </w:rPr>
              <w:t>Credit assessment</w:t>
            </w:r>
          </w:p>
        </w:tc>
        <w:tc>
          <w:tcPr>
            <w:tcW w:w="10915" w:type="dxa"/>
            <w:tcBorders>
              <w:bottom w:val="single" w:sz="18" w:space="0" w:color="E98E31" w:themeColor="background2"/>
            </w:tcBorders>
          </w:tcPr>
          <w:p w:rsidR="00245FF8" w:rsidRPr="00245FF8" w:rsidRDefault="00245FF8" w:rsidP="008404CE">
            <w:pPr>
              <w:pStyle w:val="Tableheader"/>
              <w:spacing w:before="120" w:after="120"/>
              <w:jc w:val="center"/>
              <w:rPr>
                <w:bCs w:val="0"/>
              </w:rPr>
            </w:pPr>
            <w:r w:rsidRPr="00245FF8">
              <w:rPr>
                <w:bCs w:val="0"/>
              </w:rPr>
              <w:t>Meaning of the credit assessment</w:t>
            </w:r>
          </w:p>
        </w:tc>
      </w:tr>
      <w:tr w:rsidR="007A606E" w:rsidRPr="00245FF8" w:rsidTr="00870225">
        <w:tc>
          <w:tcPr>
            <w:tcW w:w="1418" w:type="dxa"/>
            <w:tcBorders>
              <w:top w:val="single" w:sz="18" w:space="0" w:color="E98E31" w:themeColor="background2"/>
              <w:bottom w:val="dashed" w:sz="4" w:space="0" w:color="auto"/>
            </w:tcBorders>
          </w:tcPr>
          <w:p w:rsidR="007A606E" w:rsidRPr="00936D5C" w:rsidRDefault="007A606E" w:rsidP="008404CE">
            <w:pPr>
              <w:pStyle w:val="BodyText1"/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36D5C">
              <w:rPr>
                <w:rFonts w:asciiTheme="minorHAnsi" w:hAnsiTheme="minorHAnsi" w:cs="Arial"/>
                <w:sz w:val="22"/>
                <w:szCs w:val="22"/>
              </w:rPr>
              <w:t>AAA</w:t>
            </w:r>
          </w:p>
        </w:tc>
        <w:tc>
          <w:tcPr>
            <w:tcW w:w="10915" w:type="dxa"/>
            <w:tcBorders>
              <w:top w:val="single" w:sz="18" w:space="0" w:color="E98E31" w:themeColor="background2"/>
              <w:bottom w:val="dashed" w:sz="4" w:space="0" w:color="auto"/>
            </w:tcBorders>
          </w:tcPr>
          <w:p w:rsidR="007A606E" w:rsidRPr="00936D5C" w:rsidRDefault="00936D5C" w:rsidP="007A606E">
            <w:pPr>
              <w:pStyle w:val="BodyText1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936D5C">
              <w:rPr>
                <w:rFonts w:asciiTheme="minorHAnsi" w:hAnsiTheme="minorHAnsi"/>
                <w:sz w:val="22"/>
                <w:szCs w:val="22"/>
              </w:rPr>
              <w:t>Highest credit quality and extremely low business and financial risk.</w:t>
            </w:r>
          </w:p>
        </w:tc>
      </w:tr>
      <w:tr w:rsidR="007A606E" w:rsidRPr="00245FF8" w:rsidTr="00870225">
        <w:tc>
          <w:tcPr>
            <w:tcW w:w="1418" w:type="dxa"/>
            <w:tcBorders>
              <w:bottom w:val="dashed" w:sz="4" w:space="0" w:color="auto"/>
            </w:tcBorders>
          </w:tcPr>
          <w:p w:rsidR="007A606E" w:rsidRPr="00245FF8" w:rsidRDefault="007A606E" w:rsidP="008404CE">
            <w:pPr>
              <w:pStyle w:val="BodyText1"/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45FF8">
              <w:rPr>
                <w:rFonts w:asciiTheme="minorHAnsi" w:hAnsiTheme="minorHAnsi" w:cs="Arial"/>
                <w:sz w:val="22"/>
                <w:szCs w:val="22"/>
              </w:rPr>
              <w:t>AA</w:t>
            </w:r>
          </w:p>
        </w:tc>
        <w:tc>
          <w:tcPr>
            <w:tcW w:w="10915" w:type="dxa"/>
            <w:tcBorders>
              <w:bottom w:val="dashed" w:sz="4" w:space="0" w:color="auto"/>
            </w:tcBorders>
          </w:tcPr>
          <w:p w:rsidR="007A606E" w:rsidRPr="007A606E" w:rsidRDefault="00F33CF2" w:rsidP="009B64CB">
            <w:pPr>
              <w:pStyle w:val="BodyText1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F33CF2">
              <w:rPr>
                <w:rFonts w:asciiTheme="minorHAnsi" w:hAnsiTheme="minorHAnsi"/>
                <w:sz w:val="22"/>
                <w:szCs w:val="22"/>
              </w:rPr>
              <w:t>Very large scale and very high level of diversification, very low-risk business (proven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33CF2">
              <w:rPr>
                <w:rFonts w:asciiTheme="minorHAnsi" w:hAnsiTheme="minorHAnsi"/>
                <w:sz w:val="22"/>
                <w:szCs w:val="22"/>
              </w:rPr>
              <w:t>resilience through economic crisis), very high FCF and very low leverage</w:t>
            </w:r>
          </w:p>
        </w:tc>
      </w:tr>
      <w:tr w:rsidR="007A606E" w:rsidRPr="00245FF8" w:rsidTr="00870225">
        <w:tc>
          <w:tcPr>
            <w:tcW w:w="1418" w:type="dxa"/>
            <w:tcBorders>
              <w:bottom w:val="dashed" w:sz="4" w:space="0" w:color="auto"/>
            </w:tcBorders>
          </w:tcPr>
          <w:p w:rsidR="007A606E" w:rsidRPr="00245FF8" w:rsidRDefault="007A606E" w:rsidP="008404CE">
            <w:pPr>
              <w:pStyle w:val="BodyText1"/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45FF8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10915" w:type="dxa"/>
            <w:tcBorders>
              <w:bottom w:val="dashed" w:sz="4" w:space="0" w:color="auto"/>
            </w:tcBorders>
          </w:tcPr>
          <w:p w:rsidR="007A606E" w:rsidRPr="007A606E" w:rsidRDefault="00F33CF2" w:rsidP="009B64CB">
            <w:pPr>
              <w:pStyle w:val="BodyText1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F33CF2">
              <w:rPr>
                <w:rFonts w:asciiTheme="minorHAnsi" w:hAnsiTheme="minorHAnsi"/>
                <w:sz w:val="22"/>
                <w:szCs w:val="22"/>
              </w:rPr>
              <w:t>Large scale and high level of diversification, low-risk business (proven resilience through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33CF2">
              <w:rPr>
                <w:rFonts w:asciiTheme="minorHAnsi" w:hAnsiTheme="minorHAnsi"/>
                <w:sz w:val="22"/>
                <w:szCs w:val="22"/>
              </w:rPr>
              <w:t>economic cycles), high FCF and low leverage</w:t>
            </w:r>
          </w:p>
        </w:tc>
      </w:tr>
      <w:tr w:rsidR="007A606E" w:rsidRPr="00245FF8" w:rsidTr="00870225">
        <w:tc>
          <w:tcPr>
            <w:tcW w:w="1418" w:type="dxa"/>
          </w:tcPr>
          <w:p w:rsidR="007A606E" w:rsidRPr="00245FF8" w:rsidRDefault="007A606E" w:rsidP="008404CE">
            <w:pPr>
              <w:pStyle w:val="BodyText1"/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45FF8">
              <w:rPr>
                <w:rFonts w:asciiTheme="minorHAnsi" w:hAnsiTheme="minorHAnsi" w:cs="Arial"/>
                <w:sz w:val="22"/>
                <w:szCs w:val="22"/>
              </w:rPr>
              <w:t>BBB</w:t>
            </w:r>
          </w:p>
        </w:tc>
        <w:tc>
          <w:tcPr>
            <w:tcW w:w="10915" w:type="dxa"/>
          </w:tcPr>
          <w:p w:rsidR="007A606E" w:rsidRPr="007A606E" w:rsidRDefault="00F33CF2" w:rsidP="009B64CB">
            <w:pPr>
              <w:pStyle w:val="BodyText1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F33CF2">
              <w:rPr>
                <w:rFonts w:asciiTheme="minorHAnsi" w:hAnsiTheme="minorHAnsi"/>
                <w:sz w:val="22"/>
                <w:szCs w:val="22"/>
              </w:rPr>
              <w:t>Large scale and high level of diversification, low-risk business (proven resilience through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33CF2">
              <w:rPr>
                <w:rFonts w:asciiTheme="minorHAnsi" w:hAnsiTheme="minorHAnsi"/>
                <w:sz w:val="22"/>
                <w:szCs w:val="22"/>
              </w:rPr>
              <w:t>economic cycles), positive FCF and/or low leverage</w:t>
            </w:r>
          </w:p>
        </w:tc>
      </w:tr>
      <w:tr w:rsidR="007A606E" w:rsidRPr="00245FF8" w:rsidTr="00870225">
        <w:tc>
          <w:tcPr>
            <w:tcW w:w="1418" w:type="dxa"/>
          </w:tcPr>
          <w:p w:rsidR="007A606E" w:rsidRPr="00245FF8" w:rsidRDefault="007A606E" w:rsidP="008404CE">
            <w:pPr>
              <w:pStyle w:val="BodyText1"/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45FF8">
              <w:rPr>
                <w:rFonts w:asciiTheme="minorHAnsi" w:hAnsiTheme="minorHAnsi" w:cs="Arial"/>
                <w:sz w:val="22"/>
                <w:szCs w:val="22"/>
              </w:rPr>
              <w:t>BB</w:t>
            </w:r>
          </w:p>
        </w:tc>
        <w:tc>
          <w:tcPr>
            <w:tcW w:w="10915" w:type="dxa"/>
          </w:tcPr>
          <w:p w:rsidR="007A606E" w:rsidRPr="007A606E" w:rsidRDefault="00F33CF2" w:rsidP="009B64CB">
            <w:pPr>
              <w:pStyle w:val="BodyText1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F33CF2">
              <w:rPr>
                <w:rFonts w:asciiTheme="minorHAnsi" w:hAnsiTheme="minorHAnsi"/>
                <w:sz w:val="22"/>
                <w:szCs w:val="22"/>
              </w:rPr>
              <w:t>Medium/low-risk business (stable and predictable cash flows), positive FCF and/or low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33CF2">
              <w:rPr>
                <w:rFonts w:asciiTheme="minorHAnsi" w:hAnsiTheme="minorHAnsi"/>
                <w:sz w:val="22"/>
                <w:szCs w:val="22"/>
              </w:rPr>
              <w:t>leverage</w:t>
            </w:r>
          </w:p>
        </w:tc>
      </w:tr>
      <w:tr w:rsidR="007A606E" w:rsidRPr="00245FF8" w:rsidTr="00870225">
        <w:tc>
          <w:tcPr>
            <w:tcW w:w="1418" w:type="dxa"/>
          </w:tcPr>
          <w:p w:rsidR="007A606E" w:rsidRPr="00245FF8" w:rsidRDefault="007A606E" w:rsidP="008404CE">
            <w:pPr>
              <w:pStyle w:val="BodyText1"/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45FF8">
              <w:rPr>
                <w:rFonts w:asciiTheme="minorHAnsi" w:hAnsiTheme="minorHAnsi" w:cs="Arial"/>
                <w:sz w:val="22"/>
                <w:szCs w:val="22"/>
              </w:rPr>
              <w:t>B</w:t>
            </w:r>
          </w:p>
        </w:tc>
        <w:tc>
          <w:tcPr>
            <w:tcW w:w="10915" w:type="dxa"/>
          </w:tcPr>
          <w:p w:rsidR="007A606E" w:rsidRPr="007A606E" w:rsidRDefault="00F33CF2" w:rsidP="007A606E">
            <w:pPr>
              <w:pStyle w:val="BodyText1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High-risk business , negative FCF and/or high leverage</w:t>
            </w:r>
          </w:p>
        </w:tc>
      </w:tr>
      <w:tr w:rsidR="007A606E" w:rsidRPr="00245FF8" w:rsidTr="00870225">
        <w:tc>
          <w:tcPr>
            <w:tcW w:w="1418" w:type="dxa"/>
          </w:tcPr>
          <w:p w:rsidR="007A606E" w:rsidRPr="00245FF8" w:rsidRDefault="007A606E" w:rsidP="008404CE">
            <w:pPr>
              <w:pStyle w:val="BodyText1"/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45FF8">
              <w:rPr>
                <w:rFonts w:asciiTheme="minorHAnsi" w:hAnsiTheme="minorHAnsi" w:cs="Arial"/>
                <w:sz w:val="22"/>
                <w:szCs w:val="22"/>
              </w:rPr>
              <w:t>CCC</w:t>
            </w:r>
          </w:p>
        </w:tc>
        <w:tc>
          <w:tcPr>
            <w:tcW w:w="10915" w:type="dxa"/>
          </w:tcPr>
          <w:p w:rsidR="007A606E" w:rsidRPr="007A606E" w:rsidRDefault="00F33CF2" w:rsidP="007A606E">
            <w:pPr>
              <w:pStyle w:val="BodyText1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F33CF2">
              <w:rPr>
                <w:rFonts w:asciiTheme="minorHAnsi" w:hAnsiTheme="minorHAnsi"/>
                <w:sz w:val="22"/>
                <w:szCs w:val="22"/>
              </w:rPr>
              <w:t>Very high leverage, negative FCF, weak liquidity and/or restructuring/default likely</w:t>
            </w:r>
          </w:p>
        </w:tc>
      </w:tr>
      <w:tr w:rsidR="007A606E" w:rsidRPr="00245FF8" w:rsidTr="00870225">
        <w:tc>
          <w:tcPr>
            <w:tcW w:w="1418" w:type="dxa"/>
          </w:tcPr>
          <w:p w:rsidR="007A606E" w:rsidRPr="00245FF8" w:rsidRDefault="007A606E" w:rsidP="00E5783C">
            <w:pPr>
              <w:pStyle w:val="BodyText1"/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45FF8">
              <w:rPr>
                <w:rFonts w:asciiTheme="minorHAnsi" w:hAnsiTheme="minorHAnsi" w:cs="Arial"/>
                <w:sz w:val="22"/>
                <w:szCs w:val="22"/>
              </w:rPr>
              <w:t>CC</w:t>
            </w:r>
          </w:p>
        </w:tc>
        <w:tc>
          <w:tcPr>
            <w:tcW w:w="10915" w:type="dxa"/>
          </w:tcPr>
          <w:p w:rsidR="007A606E" w:rsidRPr="007A606E" w:rsidRDefault="007A606E" w:rsidP="007A606E">
            <w:pPr>
              <w:pStyle w:val="BodyText1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7A606E">
              <w:rPr>
                <w:rFonts w:asciiTheme="minorHAnsi" w:hAnsiTheme="minorHAnsi"/>
                <w:sz w:val="22"/>
                <w:szCs w:val="22"/>
              </w:rPr>
              <w:t>Out-of-court consensual restructuring</w:t>
            </w:r>
            <w:r w:rsidRPr="007A606E" w:rsidDel="009D159D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7A606E" w:rsidRPr="00245FF8" w:rsidTr="00870225">
        <w:tc>
          <w:tcPr>
            <w:tcW w:w="1418" w:type="dxa"/>
          </w:tcPr>
          <w:p w:rsidR="007A606E" w:rsidRPr="00245FF8" w:rsidRDefault="007A606E" w:rsidP="00E5783C">
            <w:pPr>
              <w:pStyle w:val="BodyText1"/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</w:t>
            </w:r>
          </w:p>
        </w:tc>
        <w:tc>
          <w:tcPr>
            <w:tcW w:w="10915" w:type="dxa"/>
          </w:tcPr>
          <w:p w:rsidR="007A606E" w:rsidRPr="007A606E" w:rsidRDefault="007A606E" w:rsidP="007A606E">
            <w:pPr>
              <w:pStyle w:val="BodyText1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7A606E">
              <w:rPr>
                <w:rFonts w:asciiTheme="minorHAnsi" w:hAnsiTheme="minorHAnsi"/>
                <w:sz w:val="22"/>
                <w:szCs w:val="22"/>
              </w:rPr>
              <w:t>In-court restructuring</w:t>
            </w:r>
            <w:r w:rsidRPr="007A606E" w:rsidDel="009D159D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7A606E" w:rsidRPr="00245FF8" w:rsidTr="00870225">
        <w:tc>
          <w:tcPr>
            <w:tcW w:w="1418" w:type="dxa"/>
          </w:tcPr>
          <w:p w:rsidR="007A606E" w:rsidRPr="00245FF8" w:rsidRDefault="007A606E" w:rsidP="008404CE">
            <w:pPr>
              <w:pStyle w:val="BodyText1"/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</w:t>
            </w:r>
          </w:p>
        </w:tc>
        <w:tc>
          <w:tcPr>
            <w:tcW w:w="10915" w:type="dxa"/>
          </w:tcPr>
          <w:p w:rsidR="007A606E" w:rsidRPr="007A606E" w:rsidDel="00001ADC" w:rsidRDefault="007A606E" w:rsidP="007A606E">
            <w:pPr>
              <w:pStyle w:val="BodyText1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7A606E">
              <w:rPr>
                <w:rFonts w:asciiTheme="minorHAnsi" w:hAnsiTheme="minorHAnsi"/>
                <w:sz w:val="22"/>
                <w:szCs w:val="22"/>
              </w:rPr>
              <w:t>Missed payment on interest or principal (post-grace period)</w:t>
            </w:r>
            <w:r w:rsidRPr="007A606E" w:rsidDel="009D159D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</w:tbl>
    <w:p w:rsidR="00366267" w:rsidRDefault="007A606E" w:rsidP="0074573B">
      <w:pPr>
        <w:pStyle w:val="FootnoteText"/>
      </w:pPr>
      <w:r>
        <w:t>Source: Spread Research</w:t>
      </w:r>
    </w:p>
    <w:p w:rsidR="00366267" w:rsidRDefault="00366267" w:rsidP="0074573B">
      <w:pPr>
        <w:pStyle w:val="FootnoteText"/>
      </w:pPr>
    </w:p>
    <w:p w:rsidR="006B4F99" w:rsidRPr="003B1591" w:rsidRDefault="006B4F99" w:rsidP="006B4F99">
      <w:pPr>
        <w:pStyle w:val="Figuretitle"/>
      </w:pPr>
      <w:r w:rsidRPr="0041788D">
        <w:rPr>
          <w:szCs w:val="22"/>
        </w:rPr>
        <w:t xml:space="preserve">Figure </w:t>
      </w:r>
      <w:r>
        <w:rPr>
          <w:szCs w:val="22"/>
        </w:rPr>
        <w:t>4</w:t>
      </w:r>
      <w:r>
        <w:t>:</w:t>
      </w:r>
      <w:r w:rsidRPr="003B1591">
        <w:t xml:space="preserve"> </w:t>
      </w:r>
      <w:r w:rsidR="006916D9">
        <w:t>Global</w:t>
      </w:r>
      <w:r w:rsidRPr="002033F9">
        <w:t xml:space="preserve"> </w:t>
      </w:r>
      <w:r>
        <w:t xml:space="preserve">short-term </w:t>
      </w:r>
      <w:r w:rsidRPr="002033F9">
        <w:t>rating scale</w:t>
      </w:r>
      <w:r w:rsidRPr="003B1591">
        <w:t xml:space="preserve"> </w:t>
      </w:r>
    </w:p>
    <w:tbl>
      <w:tblPr>
        <w:tblStyle w:val="TableGrid"/>
        <w:tblW w:w="11482" w:type="dxa"/>
        <w:tblInd w:w="108" w:type="dxa"/>
        <w:tblLook w:val="04A0" w:firstRow="1" w:lastRow="0" w:firstColumn="1" w:lastColumn="0" w:noHBand="0" w:noVBand="1"/>
      </w:tblPr>
      <w:tblGrid>
        <w:gridCol w:w="1418"/>
        <w:gridCol w:w="10064"/>
      </w:tblGrid>
      <w:tr w:rsidR="006B4F99" w:rsidRPr="00245FF8" w:rsidTr="008702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5"/>
        </w:trPr>
        <w:tc>
          <w:tcPr>
            <w:tcW w:w="1418" w:type="dxa"/>
            <w:tcBorders>
              <w:bottom w:val="single" w:sz="18" w:space="0" w:color="E98E31" w:themeColor="background2"/>
            </w:tcBorders>
          </w:tcPr>
          <w:p w:rsidR="006B4F99" w:rsidRPr="00245FF8" w:rsidRDefault="006B4F99" w:rsidP="00825BB4">
            <w:pPr>
              <w:pStyle w:val="Tableheader"/>
              <w:spacing w:before="120" w:after="120"/>
              <w:jc w:val="center"/>
              <w:rPr>
                <w:bCs w:val="0"/>
              </w:rPr>
            </w:pPr>
            <w:r w:rsidRPr="00245FF8">
              <w:rPr>
                <w:bCs w:val="0"/>
              </w:rPr>
              <w:t>Credit assessment</w:t>
            </w:r>
          </w:p>
        </w:tc>
        <w:tc>
          <w:tcPr>
            <w:tcW w:w="10064" w:type="dxa"/>
            <w:tcBorders>
              <w:bottom w:val="single" w:sz="18" w:space="0" w:color="E98E31" w:themeColor="background2"/>
            </w:tcBorders>
          </w:tcPr>
          <w:p w:rsidR="006B4F99" w:rsidRPr="00245FF8" w:rsidRDefault="006B4F99" w:rsidP="00825BB4">
            <w:pPr>
              <w:pStyle w:val="Tableheader"/>
              <w:spacing w:before="120" w:after="120"/>
              <w:jc w:val="center"/>
              <w:rPr>
                <w:bCs w:val="0"/>
              </w:rPr>
            </w:pPr>
            <w:r w:rsidRPr="00245FF8">
              <w:rPr>
                <w:bCs w:val="0"/>
              </w:rPr>
              <w:t>Meaning of the credit assessment</w:t>
            </w:r>
          </w:p>
        </w:tc>
      </w:tr>
      <w:tr w:rsidR="006B4F99" w:rsidRPr="00245FF8" w:rsidTr="00870225">
        <w:tc>
          <w:tcPr>
            <w:tcW w:w="1418" w:type="dxa"/>
            <w:tcBorders>
              <w:top w:val="single" w:sz="18" w:space="0" w:color="E98E31" w:themeColor="background2"/>
              <w:bottom w:val="dashed" w:sz="4" w:space="0" w:color="auto"/>
            </w:tcBorders>
            <w:vAlign w:val="top"/>
          </w:tcPr>
          <w:p w:rsidR="006B4F99" w:rsidRPr="00936D5C" w:rsidRDefault="006B4F99" w:rsidP="001E3601">
            <w:pPr>
              <w:pStyle w:val="BodyText1"/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77AC4">
              <w:rPr>
                <w:rFonts w:asciiTheme="minorHAnsi" w:hAnsiTheme="minorHAnsi" w:cs="Arial"/>
                <w:sz w:val="22"/>
                <w:szCs w:val="22"/>
              </w:rPr>
              <w:t>SR 0</w:t>
            </w:r>
          </w:p>
        </w:tc>
        <w:tc>
          <w:tcPr>
            <w:tcW w:w="10064" w:type="dxa"/>
            <w:tcBorders>
              <w:top w:val="single" w:sz="18" w:space="0" w:color="E98E31" w:themeColor="background2"/>
              <w:bottom w:val="dashed" w:sz="4" w:space="0" w:color="auto"/>
            </w:tcBorders>
            <w:vAlign w:val="top"/>
          </w:tcPr>
          <w:p w:rsidR="006B4F99" w:rsidRPr="001E3601" w:rsidRDefault="006B4F99">
            <w:pPr>
              <w:pStyle w:val="BodyText1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E77AC4">
              <w:rPr>
                <w:rFonts w:asciiTheme="minorHAnsi" w:hAnsiTheme="minorHAnsi"/>
                <w:sz w:val="22"/>
                <w:szCs w:val="22"/>
              </w:rPr>
              <w:t>Very low short term risk and very strong ability to reimburse short term debt.</w:t>
            </w:r>
          </w:p>
        </w:tc>
      </w:tr>
      <w:tr w:rsidR="006B4F99" w:rsidRPr="00245FF8" w:rsidTr="00870225">
        <w:tc>
          <w:tcPr>
            <w:tcW w:w="1418" w:type="dxa"/>
            <w:tcBorders>
              <w:bottom w:val="dashed" w:sz="4" w:space="0" w:color="auto"/>
            </w:tcBorders>
            <w:vAlign w:val="top"/>
          </w:tcPr>
          <w:p w:rsidR="006B4F99" w:rsidRPr="00245FF8" w:rsidRDefault="006B4F99" w:rsidP="001E3601">
            <w:pPr>
              <w:pStyle w:val="BodyText1"/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77AC4">
              <w:rPr>
                <w:rFonts w:asciiTheme="minorHAnsi" w:hAnsiTheme="minorHAnsi" w:cs="Arial"/>
                <w:sz w:val="22"/>
                <w:szCs w:val="22"/>
              </w:rPr>
              <w:t>SR 1</w:t>
            </w:r>
          </w:p>
        </w:tc>
        <w:tc>
          <w:tcPr>
            <w:tcW w:w="10064" w:type="dxa"/>
            <w:tcBorders>
              <w:bottom w:val="dashed" w:sz="4" w:space="0" w:color="auto"/>
            </w:tcBorders>
            <w:vAlign w:val="top"/>
          </w:tcPr>
          <w:p w:rsidR="006B4F99" w:rsidRPr="001E3601" w:rsidRDefault="006B4F99">
            <w:pPr>
              <w:pStyle w:val="BodyText1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E77AC4">
              <w:rPr>
                <w:rFonts w:asciiTheme="minorHAnsi" w:hAnsiTheme="minorHAnsi"/>
                <w:sz w:val="22"/>
                <w:szCs w:val="22"/>
              </w:rPr>
              <w:t>Low short term risk linked to the issuer’s ability to anticipate short term funding risks.</w:t>
            </w:r>
          </w:p>
        </w:tc>
      </w:tr>
      <w:tr w:rsidR="006B4F99" w:rsidRPr="00245FF8" w:rsidTr="00870225">
        <w:tc>
          <w:tcPr>
            <w:tcW w:w="1418" w:type="dxa"/>
            <w:tcBorders>
              <w:bottom w:val="dashed" w:sz="4" w:space="0" w:color="auto"/>
            </w:tcBorders>
            <w:vAlign w:val="top"/>
          </w:tcPr>
          <w:p w:rsidR="006B4F99" w:rsidRPr="00245FF8" w:rsidRDefault="006B4F99" w:rsidP="001E3601">
            <w:pPr>
              <w:pStyle w:val="BodyText1"/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77AC4">
              <w:rPr>
                <w:rFonts w:asciiTheme="minorHAnsi" w:hAnsiTheme="minorHAnsi" w:cs="Arial"/>
                <w:sz w:val="22"/>
                <w:szCs w:val="22"/>
              </w:rPr>
              <w:t>SR 2</w:t>
            </w:r>
          </w:p>
        </w:tc>
        <w:tc>
          <w:tcPr>
            <w:tcW w:w="10064" w:type="dxa"/>
            <w:tcBorders>
              <w:bottom w:val="dashed" w:sz="4" w:space="0" w:color="auto"/>
            </w:tcBorders>
            <w:vAlign w:val="top"/>
          </w:tcPr>
          <w:p w:rsidR="006B4F99" w:rsidRPr="001E3601" w:rsidRDefault="006B4F99">
            <w:pPr>
              <w:pStyle w:val="BodyText1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E77AC4">
              <w:rPr>
                <w:rFonts w:asciiTheme="minorHAnsi" w:hAnsiTheme="minorHAnsi"/>
                <w:sz w:val="22"/>
                <w:szCs w:val="22"/>
              </w:rPr>
              <w:t>Moderate short term risk linked to potential external risks.</w:t>
            </w:r>
          </w:p>
        </w:tc>
      </w:tr>
      <w:tr w:rsidR="006B4F99" w:rsidRPr="00245FF8" w:rsidTr="00870225">
        <w:tc>
          <w:tcPr>
            <w:tcW w:w="1418" w:type="dxa"/>
            <w:vAlign w:val="top"/>
          </w:tcPr>
          <w:p w:rsidR="006B4F99" w:rsidRPr="00245FF8" w:rsidRDefault="006B4F99" w:rsidP="001E3601">
            <w:pPr>
              <w:pStyle w:val="BodyText1"/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77AC4">
              <w:rPr>
                <w:rFonts w:asciiTheme="minorHAnsi" w:hAnsiTheme="minorHAnsi" w:cs="Arial"/>
                <w:sz w:val="22"/>
                <w:szCs w:val="22"/>
              </w:rPr>
              <w:t>SR 3</w:t>
            </w:r>
          </w:p>
        </w:tc>
        <w:tc>
          <w:tcPr>
            <w:tcW w:w="10064" w:type="dxa"/>
            <w:vAlign w:val="top"/>
          </w:tcPr>
          <w:p w:rsidR="006B4F99" w:rsidRPr="001E3601" w:rsidRDefault="006B4F99">
            <w:pPr>
              <w:pStyle w:val="BodyText1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E77AC4">
              <w:rPr>
                <w:rFonts w:asciiTheme="minorHAnsi" w:hAnsiTheme="minorHAnsi"/>
                <w:sz w:val="22"/>
                <w:szCs w:val="22"/>
              </w:rPr>
              <w:t>Medium short term risk. The issuer’s ability to reimburse its short term debt may be hampered by external or specific risks.</w:t>
            </w:r>
          </w:p>
        </w:tc>
      </w:tr>
      <w:tr w:rsidR="006B4F99" w:rsidRPr="00245FF8" w:rsidTr="00870225">
        <w:tc>
          <w:tcPr>
            <w:tcW w:w="1418" w:type="dxa"/>
            <w:vAlign w:val="top"/>
          </w:tcPr>
          <w:p w:rsidR="006B4F99" w:rsidRPr="00245FF8" w:rsidRDefault="006B4F99" w:rsidP="00825BB4">
            <w:pPr>
              <w:pStyle w:val="BodyText1"/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77AC4">
              <w:rPr>
                <w:rFonts w:asciiTheme="minorHAnsi" w:hAnsiTheme="minorHAnsi" w:cs="Arial"/>
                <w:sz w:val="22"/>
                <w:szCs w:val="22"/>
              </w:rPr>
              <w:t>SR 4</w:t>
            </w:r>
          </w:p>
        </w:tc>
        <w:tc>
          <w:tcPr>
            <w:tcW w:w="10064" w:type="dxa"/>
            <w:vAlign w:val="top"/>
          </w:tcPr>
          <w:p w:rsidR="006B4F99" w:rsidRPr="001E3601" w:rsidRDefault="006B4F99" w:rsidP="00825BB4">
            <w:pPr>
              <w:pStyle w:val="BodyText1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E77AC4">
              <w:rPr>
                <w:rFonts w:asciiTheme="minorHAnsi" w:hAnsiTheme="minorHAnsi"/>
                <w:sz w:val="22"/>
                <w:szCs w:val="22"/>
              </w:rPr>
              <w:t>High short term risk</w:t>
            </w:r>
          </w:p>
        </w:tc>
      </w:tr>
      <w:tr w:rsidR="006B4F99" w:rsidRPr="00245FF8" w:rsidTr="00870225">
        <w:tc>
          <w:tcPr>
            <w:tcW w:w="1418" w:type="dxa"/>
            <w:vAlign w:val="top"/>
          </w:tcPr>
          <w:p w:rsidR="006B4F99" w:rsidRPr="00245FF8" w:rsidRDefault="006B4F99" w:rsidP="001E3601">
            <w:pPr>
              <w:pStyle w:val="BodyText1"/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77AC4">
              <w:rPr>
                <w:rFonts w:asciiTheme="minorHAnsi" w:hAnsiTheme="minorHAnsi" w:cs="Arial"/>
                <w:sz w:val="22"/>
                <w:szCs w:val="22"/>
              </w:rPr>
              <w:t>SR 5</w:t>
            </w:r>
          </w:p>
        </w:tc>
        <w:tc>
          <w:tcPr>
            <w:tcW w:w="10064" w:type="dxa"/>
            <w:vAlign w:val="top"/>
          </w:tcPr>
          <w:p w:rsidR="006B4F99" w:rsidRPr="001E3601" w:rsidRDefault="006B4F99">
            <w:pPr>
              <w:pStyle w:val="BodyText1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E77AC4">
              <w:rPr>
                <w:rFonts w:asciiTheme="minorHAnsi" w:hAnsiTheme="minorHAnsi"/>
                <w:sz w:val="22"/>
                <w:szCs w:val="22"/>
              </w:rPr>
              <w:t>Very high short term risk / In- restructuring.</w:t>
            </w:r>
          </w:p>
        </w:tc>
      </w:tr>
      <w:tr w:rsidR="006B4F99" w:rsidRPr="00245FF8" w:rsidTr="00870225">
        <w:tc>
          <w:tcPr>
            <w:tcW w:w="1418" w:type="dxa"/>
            <w:vAlign w:val="top"/>
          </w:tcPr>
          <w:p w:rsidR="006B4F99" w:rsidRPr="00245FF8" w:rsidRDefault="006B4F99" w:rsidP="00825BB4">
            <w:pPr>
              <w:pStyle w:val="BodyText1"/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77AC4">
              <w:rPr>
                <w:rFonts w:asciiTheme="minorHAnsi" w:hAnsiTheme="minorHAnsi" w:cs="Arial"/>
                <w:sz w:val="22"/>
                <w:szCs w:val="22"/>
              </w:rPr>
              <w:t>SR D</w:t>
            </w:r>
          </w:p>
        </w:tc>
        <w:tc>
          <w:tcPr>
            <w:tcW w:w="10064" w:type="dxa"/>
            <w:vAlign w:val="top"/>
          </w:tcPr>
          <w:p w:rsidR="006B4F99" w:rsidRPr="001E3601" w:rsidRDefault="006B4F99" w:rsidP="00825BB4">
            <w:pPr>
              <w:pStyle w:val="BodyText1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E77AC4">
              <w:rPr>
                <w:rFonts w:asciiTheme="minorHAnsi" w:hAnsiTheme="minorHAnsi"/>
                <w:sz w:val="22"/>
                <w:szCs w:val="22"/>
              </w:rPr>
              <w:t>Default on the short term debt</w:t>
            </w:r>
          </w:p>
        </w:tc>
      </w:tr>
    </w:tbl>
    <w:p w:rsidR="006B4F99" w:rsidRDefault="006B4F99" w:rsidP="006B4F99">
      <w:pPr>
        <w:pStyle w:val="FootnoteText"/>
      </w:pPr>
      <w:r>
        <w:t>Source: Spread Research</w:t>
      </w:r>
    </w:p>
    <w:p w:rsidR="008019A5" w:rsidRDefault="008019A5" w:rsidP="00870225">
      <w:bookmarkStart w:id="5" w:name="_Ref385248078"/>
    </w:p>
    <w:bookmarkEnd w:id="5"/>
    <w:sectPr w:rsidR="008019A5" w:rsidSect="00010D7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6840" w:h="11900" w:orient="landscape"/>
      <w:pgMar w:top="1701" w:right="2268" w:bottom="1418" w:left="1134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8D6" w:rsidRDefault="00E458D6" w:rsidP="00A00E34">
      <w:r>
        <w:separator/>
      </w:r>
    </w:p>
    <w:p w:rsidR="00E458D6" w:rsidRDefault="00E458D6"/>
  </w:endnote>
  <w:endnote w:type="continuationSeparator" w:id="0">
    <w:p w:rsidR="00E458D6" w:rsidRDefault="00E458D6" w:rsidP="00A00E34">
      <w:r>
        <w:continuationSeparator/>
      </w:r>
    </w:p>
    <w:p w:rsidR="00E458D6" w:rsidRDefault="00E458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3B" w:rsidRDefault="004A383B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383B" w:rsidRDefault="004A383B" w:rsidP="006103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3B" w:rsidRDefault="004A383B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0225">
      <w:rPr>
        <w:rStyle w:val="PageNumber"/>
        <w:noProof/>
      </w:rPr>
      <w:t>1</w:t>
    </w:r>
    <w:r>
      <w:rPr>
        <w:rStyle w:val="PageNumber"/>
      </w:rPr>
      <w:fldChar w:fldCharType="end"/>
    </w:r>
  </w:p>
  <w:p w:rsidR="004A383B" w:rsidRDefault="004A383B" w:rsidP="00610305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58752" behindDoc="1" locked="1" layoutInCell="1" allowOverlap="1" wp14:anchorId="3040EFC5" wp14:editId="463B1569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5E4EEA" id="Straight Connector 2" o:spid="_x0000_s1026" style="position:absolute;z-index:-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from="-5.6pt,785.3pt" to="445.1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" strokecolor="#2f5773 [3204]" strokeweight="1pt">
              <o:lock v:ext="edit" shapetype="f"/>
              <w10:wrap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3B" w:rsidRDefault="004A383B" w:rsidP="00245F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D1D47">
      <w:rPr>
        <w:rStyle w:val="PageNumber"/>
        <w:noProof/>
      </w:rPr>
      <w:t>1</w:t>
    </w:r>
    <w:r>
      <w:rPr>
        <w:rStyle w:val="PageNumber"/>
      </w:rPr>
      <w:fldChar w:fldCharType="end"/>
    </w:r>
  </w:p>
  <w:p w:rsidR="004A383B" w:rsidRDefault="004A383B" w:rsidP="002F6CF0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1" locked="1" layoutInCell="1" allowOverlap="1" wp14:anchorId="22823599" wp14:editId="784EE80D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689231" id="Straight Connector 3" o:spid="_x0000_s1026" style="position:absolute;z-index:-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from="-5.6pt,785.3pt" to="445.1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" strokecolor="#2f5773 [3204]" strokeweight="1pt">
              <o:lock v:ext="edit" shapetype="f"/>
              <w10:wrap anchory="page"/>
              <w10:anchorlock/>
            </v:lin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3B" w:rsidRDefault="004A383B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383B" w:rsidRDefault="004A383B" w:rsidP="00610305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3B" w:rsidRDefault="004A383B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4A383B" w:rsidRDefault="004A383B" w:rsidP="00610305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6432" behindDoc="1" locked="1" layoutInCell="1" allowOverlap="1" wp14:anchorId="3EF52293" wp14:editId="5D3C443B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8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A1F9106" id="Straight Connector 8" o:spid="_x0000_s1026" style="position:absolute;z-index:-251650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from="-5.6pt,785.3pt" to="445.1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" strokecolor="#2f5773 [3204]" strokeweight="1pt">
              <o:lock v:ext="edit" shapetype="f"/>
              <w10:wrap anchory="page"/>
              <w10:anchorlock/>
            </v:lin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3B" w:rsidRDefault="004A383B" w:rsidP="00245F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0225">
      <w:rPr>
        <w:rStyle w:val="PageNumber"/>
        <w:noProof/>
      </w:rPr>
      <w:t>2</w:t>
    </w:r>
    <w:r>
      <w:rPr>
        <w:rStyle w:val="PageNumber"/>
      </w:rPr>
      <w:fldChar w:fldCharType="end"/>
    </w:r>
  </w:p>
  <w:p w:rsidR="004A383B" w:rsidRDefault="004A383B" w:rsidP="002F6CF0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7456" behindDoc="1" locked="1" layoutInCell="1" allowOverlap="1" wp14:anchorId="7E826C37" wp14:editId="6C7E7276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B434E0" id="Straight Connector 9" o:spid="_x0000_s1026" style="position:absolute;z-index:-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from="-5.6pt,785.3pt" to="445.1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" strokecolor="#2f5773 [3204]" strokeweight="1pt">
              <o:lock v:ext="edit" shapetype="f"/>
              <w10:wrap anchory="page"/>
              <w10:anchorlock/>
            </v:lin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3B" w:rsidRDefault="004A383B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383B" w:rsidRDefault="004A383B" w:rsidP="00610305">
    <w:pPr>
      <w:pStyle w:val="Footer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3B" w:rsidRDefault="004A383B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0225">
      <w:rPr>
        <w:rStyle w:val="PageNumber"/>
        <w:noProof/>
      </w:rPr>
      <w:t>4</w:t>
    </w:r>
    <w:r>
      <w:rPr>
        <w:rStyle w:val="PageNumber"/>
      </w:rPr>
      <w:fldChar w:fldCharType="end"/>
    </w:r>
  </w:p>
  <w:p w:rsidR="004A383B" w:rsidRDefault="004A383B" w:rsidP="00610305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58240" behindDoc="1" locked="1" layoutInCell="1" allowOverlap="1" wp14:anchorId="53130B35" wp14:editId="1CA1CA8C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18" name="Straight Connector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5649216" id="Straight Connector 18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from="-5.6pt,785.3pt" to="445.1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" strokecolor="#2f5773 [3204]" strokeweight="1pt">
              <o:lock v:ext="edit" shapetype="f"/>
              <w10:wrap anchory="page"/>
              <w10:anchorlock/>
            </v:lin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3B" w:rsidRDefault="004A383B" w:rsidP="00245F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0225">
      <w:rPr>
        <w:rStyle w:val="PageNumber"/>
        <w:noProof/>
      </w:rPr>
      <w:t>3</w:t>
    </w:r>
    <w:r>
      <w:rPr>
        <w:rStyle w:val="PageNumber"/>
      </w:rPr>
      <w:fldChar w:fldCharType="end"/>
    </w:r>
  </w:p>
  <w:p w:rsidR="004A383B" w:rsidRDefault="004A383B" w:rsidP="002F6CF0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1" locked="1" layoutInCell="1" allowOverlap="1" wp14:anchorId="10CACF4A" wp14:editId="4F7F0081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19" name="Straight Connector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0E4FDC0" id="Straight Connector 19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from="-5.6pt,785.3pt" to="445.1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" strokecolor="#2f5773 [3204]" strokeweight="1pt">
              <o:lock v:ext="edit" shapetype="f"/>
              <w10:wrap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8D6" w:rsidRPr="00DB5E8F" w:rsidRDefault="00E458D6">
      <w:pPr>
        <w:rPr>
          <w:sz w:val="12"/>
          <w:szCs w:val="12"/>
        </w:rPr>
      </w:pPr>
      <w:r w:rsidRPr="00DB5E8F">
        <w:rPr>
          <w:sz w:val="12"/>
          <w:szCs w:val="12"/>
        </w:rPr>
        <w:separator/>
      </w:r>
    </w:p>
  </w:footnote>
  <w:footnote w:type="continuationSeparator" w:id="0">
    <w:p w:rsidR="00E458D6" w:rsidRDefault="00E458D6" w:rsidP="00A00E34">
      <w:r>
        <w:continuationSeparator/>
      </w:r>
    </w:p>
    <w:p w:rsidR="00E458D6" w:rsidRDefault="00E458D6"/>
  </w:footnote>
  <w:footnote w:type="continuationNotice" w:id="1">
    <w:p w:rsidR="00E458D6" w:rsidRDefault="00E458D6"/>
  </w:footnote>
  <w:footnote w:id="2">
    <w:p w:rsidR="004A383B" w:rsidRDefault="004A383B" w:rsidP="0074573B">
      <w:pPr>
        <w:pStyle w:val="FootnoteText"/>
      </w:pPr>
      <w:r>
        <w:rPr>
          <w:rStyle w:val="FootnoteReference"/>
        </w:rPr>
        <w:footnoteRef/>
      </w:r>
      <w:r>
        <w:t xml:space="preserve"> As explained in recital 4 ITS, Article 4(1) CRA allows the use of the credit assessments for the determination of the risk-weighted exposure amounts as specified in Article 113(1) CRR as long as they meet the definition of credit rating in Article 3(1)(a) CRA.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3B" w:rsidRDefault="00870225">
    <w:sdt>
      <w:sdtPr>
        <w:id w:val="-2007047791"/>
        <w:temporary/>
        <w:showingPlcHdr/>
      </w:sdtPr>
      <w:sdtEndPr/>
      <w:sdtContent>
        <w:r w:rsidR="004A383B">
          <w:t>[Type text]</w:t>
        </w:r>
      </w:sdtContent>
    </w:sdt>
    <w:r w:rsidR="004A383B">
      <w:ptab w:relativeTo="margin" w:alignment="center" w:leader="none"/>
    </w:r>
    <w:sdt>
      <w:sdtPr>
        <w:id w:val="-548612780"/>
        <w:temporary/>
        <w:showingPlcHdr/>
      </w:sdtPr>
      <w:sdtEndPr/>
      <w:sdtContent>
        <w:r w:rsidR="004A383B">
          <w:t>[Type text]</w:t>
        </w:r>
      </w:sdtContent>
    </w:sdt>
    <w:r w:rsidR="004A383B">
      <w:ptab w:relativeTo="margin" w:alignment="right" w:leader="none"/>
    </w:r>
    <w:sdt>
      <w:sdtPr>
        <w:id w:val="1561049320"/>
        <w:temporary/>
        <w:showingPlcHdr/>
      </w:sdtPr>
      <w:sdtEndPr/>
      <w:sdtContent>
        <w:r w:rsidR="004A383B">
          <w:t>[Type text]</w:t>
        </w:r>
      </w:sdtContent>
    </w:sdt>
  </w:p>
  <w:p w:rsidR="004A383B" w:rsidRDefault="004A383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3B" w:rsidRPr="000069A9" w:rsidRDefault="004A383B" w:rsidP="000069A9">
    <w:pPr>
      <w:pStyle w:val="Header"/>
    </w:pPr>
    <w:r w:rsidRPr="000069A9">
      <w:rPr>
        <w:noProof/>
        <w:lang w:eastAsia="en-GB"/>
      </w:rPr>
      <w:drawing>
        <wp:inline distT="0" distB="0" distL="0" distR="0" wp14:anchorId="7945B626" wp14:editId="0269CF43">
          <wp:extent cx="5547360" cy="609600"/>
          <wp:effectExtent l="0" t="0" r="0" b="0"/>
          <wp:docPr id="17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736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3B" w:rsidRPr="000069A9" w:rsidRDefault="004A383B" w:rsidP="000069A9">
    <w:pPr>
      <w:pStyle w:val="Header"/>
    </w:pPr>
    <w:r w:rsidRPr="000069A9">
      <w:rPr>
        <w:noProof/>
        <w:lang w:eastAsia="en-GB"/>
      </w:rPr>
      <w:drawing>
        <wp:inline distT="0" distB="0" distL="0" distR="0" wp14:anchorId="63B13A81" wp14:editId="211E4D25">
          <wp:extent cx="5547360" cy="609600"/>
          <wp:effectExtent l="0" t="0" r="0" b="0"/>
          <wp:docPr id="20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736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3B" w:rsidRDefault="00870225">
    <w:sdt>
      <w:sdtPr>
        <w:id w:val="106252288"/>
        <w:temporary/>
        <w:showingPlcHdr/>
      </w:sdtPr>
      <w:sdtEndPr/>
      <w:sdtContent>
        <w:r w:rsidR="004A383B">
          <w:t>[Type text]</w:t>
        </w:r>
      </w:sdtContent>
    </w:sdt>
    <w:r w:rsidR="004A383B">
      <w:ptab w:relativeTo="margin" w:alignment="center" w:leader="none"/>
    </w:r>
    <w:sdt>
      <w:sdtPr>
        <w:id w:val="1978181870"/>
        <w:temporary/>
        <w:showingPlcHdr/>
      </w:sdtPr>
      <w:sdtEndPr/>
      <w:sdtContent>
        <w:r w:rsidR="004A383B">
          <w:t>[Type text]</w:t>
        </w:r>
      </w:sdtContent>
    </w:sdt>
    <w:r w:rsidR="004A383B">
      <w:ptab w:relativeTo="margin" w:alignment="right" w:leader="none"/>
    </w:r>
    <w:sdt>
      <w:sdtPr>
        <w:id w:val="501857223"/>
        <w:temporary/>
        <w:showingPlcHdr/>
      </w:sdtPr>
      <w:sdtEndPr/>
      <w:sdtContent>
        <w:r w:rsidR="004A383B">
          <w:t>[Type text]</w:t>
        </w:r>
      </w:sdtContent>
    </w:sdt>
  </w:p>
  <w:p w:rsidR="004A383B" w:rsidRDefault="004A383B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3B" w:rsidRPr="000069A9" w:rsidRDefault="004A383B" w:rsidP="000069A9">
    <w:pPr>
      <w:pStyle w:val="Header"/>
    </w:pPr>
    <w:r w:rsidRPr="000069A9">
      <w:rPr>
        <w:noProof/>
        <w:lang w:eastAsia="en-GB"/>
      </w:rPr>
      <w:drawing>
        <wp:inline distT="0" distB="0" distL="0" distR="0" wp14:anchorId="4686BB9E" wp14:editId="39D86DB2">
          <wp:extent cx="5547360" cy="609600"/>
          <wp:effectExtent l="0" t="0" r="0" b="0"/>
          <wp:docPr id="21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736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3B" w:rsidRPr="000069A9" w:rsidRDefault="004A383B" w:rsidP="000069A9">
    <w:pPr>
      <w:pStyle w:val="Header"/>
    </w:pPr>
    <w:r w:rsidRPr="000069A9">
      <w:rPr>
        <w:noProof/>
        <w:lang w:eastAsia="en-GB"/>
      </w:rPr>
      <w:drawing>
        <wp:inline distT="0" distB="0" distL="0" distR="0" wp14:anchorId="6C127BAC" wp14:editId="1C1F7970">
          <wp:extent cx="5547360" cy="609600"/>
          <wp:effectExtent l="0" t="0" r="0" b="0"/>
          <wp:docPr id="22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736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3B" w:rsidRDefault="00870225">
    <w:sdt>
      <w:sdtPr>
        <w:id w:val="694342623"/>
        <w:temporary/>
        <w:showingPlcHdr/>
      </w:sdtPr>
      <w:sdtEndPr/>
      <w:sdtContent>
        <w:r w:rsidR="004A383B">
          <w:t>[Type text]</w:t>
        </w:r>
      </w:sdtContent>
    </w:sdt>
    <w:r w:rsidR="004A383B">
      <w:ptab w:relativeTo="margin" w:alignment="center" w:leader="none"/>
    </w:r>
    <w:sdt>
      <w:sdtPr>
        <w:id w:val="1864322412"/>
        <w:temporary/>
        <w:showingPlcHdr/>
      </w:sdtPr>
      <w:sdtEndPr/>
      <w:sdtContent>
        <w:r w:rsidR="004A383B">
          <w:t>[Type text]</w:t>
        </w:r>
      </w:sdtContent>
    </w:sdt>
    <w:r w:rsidR="004A383B">
      <w:ptab w:relativeTo="margin" w:alignment="right" w:leader="none"/>
    </w:r>
    <w:sdt>
      <w:sdtPr>
        <w:id w:val="1929686972"/>
        <w:temporary/>
        <w:showingPlcHdr/>
      </w:sdtPr>
      <w:sdtEndPr/>
      <w:sdtContent>
        <w:r w:rsidR="004A383B">
          <w:t>[Type text]</w:t>
        </w:r>
      </w:sdtContent>
    </w:sdt>
  </w:p>
  <w:p w:rsidR="004A383B" w:rsidRDefault="004A383B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3B" w:rsidRPr="000069A9" w:rsidRDefault="004A383B" w:rsidP="000069A9">
    <w:pPr>
      <w:pStyle w:val="Header"/>
    </w:pPr>
    <w:r w:rsidRPr="000069A9">
      <w:rPr>
        <w:noProof/>
        <w:lang w:eastAsia="en-GB"/>
      </w:rPr>
      <w:drawing>
        <wp:inline distT="0" distB="0" distL="0" distR="0" wp14:anchorId="74DA7C12" wp14:editId="7CD6AF61">
          <wp:extent cx="5547360" cy="609600"/>
          <wp:effectExtent l="0" t="0" r="0" b="0"/>
          <wp:docPr id="24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736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3B" w:rsidRPr="000069A9" w:rsidRDefault="004A383B" w:rsidP="000069A9">
    <w:pPr>
      <w:pStyle w:val="Header"/>
    </w:pPr>
    <w:r w:rsidRPr="000069A9">
      <w:rPr>
        <w:noProof/>
        <w:lang w:eastAsia="en-GB"/>
      </w:rPr>
      <w:drawing>
        <wp:inline distT="0" distB="0" distL="0" distR="0" wp14:anchorId="05E40B9E" wp14:editId="189E6D10">
          <wp:extent cx="5547360" cy="609600"/>
          <wp:effectExtent l="0" t="0" r="0" b="0"/>
          <wp:docPr id="25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736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638D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358A2"/>
    <w:multiLevelType w:val="multilevel"/>
    <w:tmpl w:val="AEC658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8FA148C"/>
    <w:multiLevelType w:val="hybridMultilevel"/>
    <w:tmpl w:val="271A5E36"/>
    <w:lvl w:ilvl="0" w:tplc="9B42E0A2">
      <w:start w:val="1"/>
      <w:numFmt w:val="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2F5773" w:themeColor="accent1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6" w15:restartNumberingAfterBreak="0">
    <w:nsid w:val="094E1D31"/>
    <w:multiLevelType w:val="hybridMultilevel"/>
    <w:tmpl w:val="34D89928"/>
    <w:lvl w:ilvl="0" w:tplc="AA62DFE0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7229F"/>
    <w:multiLevelType w:val="hybridMultilevel"/>
    <w:tmpl w:val="B49419D2"/>
    <w:lvl w:ilvl="0" w:tplc="08090001">
      <w:start w:val="1"/>
      <w:numFmt w:val="bullet"/>
      <w:lvlText w:val=""/>
      <w:lvlJc w:val="left"/>
      <w:pPr>
        <w:tabs>
          <w:tab w:val="num" w:pos="287"/>
        </w:tabs>
        <w:ind w:left="287" w:hanging="284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11692C3F"/>
    <w:multiLevelType w:val="multilevel"/>
    <w:tmpl w:val="0CF8E5C4"/>
    <w:lvl w:ilvl="0">
      <w:start w:val="1"/>
      <w:numFmt w:val="decimal"/>
      <w:pStyle w:val="Numberedtitlelevel2"/>
      <w:lvlText w:val="%1."/>
      <w:lvlJc w:val="left"/>
      <w:pPr>
        <w:ind w:left="360" w:hanging="360"/>
      </w:pPr>
    </w:lvl>
    <w:lvl w:ilvl="1">
      <w:start w:val="1"/>
      <w:numFmt w:val="decimal"/>
      <w:pStyle w:val="Numberedtitlelevel3"/>
      <w:lvlText w:val="%1.%2."/>
      <w:lvlJc w:val="left"/>
      <w:pPr>
        <w:ind w:left="792" w:hanging="432"/>
      </w:pPr>
    </w:lvl>
    <w:lvl w:ilvl="2">
      <w:start w:val="1"/>
      <w:numFmt w:val="decimal"/>
      <w:pStyle w:val="Numberedtitlelevel4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155E6B"/>
    <w:multiLevelType w:val="multilevel"/>
    <w:tmpl w:val="6A081F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6AB4168"/>
    <w:multiLevelType w:val="multilevel"/>
    <w:tmpl w:val="AD9E135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isLgl/>
      <w:lvlText w:val="1.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1" w15:restartNumberingAfterBreak="0">
    <w:nsid w:val="211F47FA"/>
    <w:multiLevelType w:val="multilevel"/>
    <w:tmpl w:val="2C7E5A08"/>
    <w:lvl w:ilvl="0">
      <w:start w:val="1"/>
      <w:numFmt w:val="bullet"/>
      <w:pStyle w:val="Bullet1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sz w:val="28"/>
      </w:rPr>
    </w:lvl>
    <w:lvl w:ilvl="1">
      <w:start w:val="4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340760A"/>
    <w:multiLevelType w:val="multilevel"/>
    <w:tmpl w:val="C95A32B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3" w15:restartNumberingAfterBreak="0">
    <w:nsid w:val="259F7CD3"/>
    <w:multiLevelType w:val="hybridMultilevel"/>
    <w:tmpl w:val="E0E8DE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D23DF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ACB5D2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17" w15:restartNumberingAfterBreak="0">
    <w:nsid w:val="366F0CFB"/>
    <w:multiLevelType w:val="hybridMultilevel"/>
    <w:tmpl w:val="34D64C12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A0333F1"/>
    <w:multiLevelType w:val="hybridMultilevel"/>
    <w:tmpl w:val="8B967D4E"/>
    <w:lvl w:ilvl="0" w:tplc="963C153A">
      <w:start w:val="1"/>
      <w:numFmt w:val="low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96ABE"/>
    <w:multiLevelType w:val="multilevel"/>
    <w:tmpl w:val="AD38F3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8E586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52099F"/>
    <w:multiLevelType w:val="hybridMultilevel"/>
    <w:tmpl w:val="43884B2A"/>
    <w:lvl w:ilvl="0" w:tplc="56962D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ED1878"/>
    <w:multiLevelType w:val="hybridMultilevel"/>
    <w:tmpl w:val="E424F1BC"/>
    <w:lvl w:ilvl="0" w:tplc="08090001">
      <w:start w:val="1"/>
      <w:numFmt w:val="bullet"/>
      <w:lvlText w:val=""/>
      <w:lvlJc w:val="left"/>
      <w:pPr>
        <w:tabs>
          <w:tab w:val="num" w:pos="289"/>
        </w:tabs>
        <w:ind w:left="289" w:hanging="284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5" w:hanging="360"/>
      </w:pPr>
    </w:lvl>
    <w:lvl w:ilvl="2" w:tplc="0409001B" w:tentative="1">
      <w:start w:val="1"/>
      <w:numFmt w:val="lowerRoman"/>
      <w:lvlText w:val="%3."/>
      <w:lvlJc w:val="right"/>
      <w:pPr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4" w15:restartNumberingAfterBreak="0">
    <w:nsid w:val="4CDD0B2F"/>
    <w:multiLevelType w:val="hybridMultilevel"/>
    <w:tmpl w:val="F962D4CA"/>
    <w:lvl w:ilvl="0" w:tplc="3C6A0EE6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894B89"/>
    <w:multiLevelType w:val="hybridMultilevel"/>
    <w:tmpl w:val="393AB35C"/>
    <w:lvl w:ilvl="0" w:tplc="E08E609C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15C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1F07985"/>
    <w:multiLevelType w:val="multilevel"/>
    <w:tmpl w:val="517EDB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41E10D9"/>
    <w:multiLevelType w:val="multilevel"/>
    <w:tmpl w:val="FE9E8E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BCD57BB"/>
    <w:multiLevelType w:val="multilevel"/>
    <w:tmpl w:val="ADD081BE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31" w15:restartNumberingAfterBreak="0">
    <w:nsid w:val="6E4063E1"/>
    <w:multiLevelType w:val="hybridMultilevel"/>
    <w:tmpl w:val="C93A3EB6"/>
    <w:lvl w:ilvl="0" w:tplc="CCC64C02">
      <w:start w:val="1"/>
      <w:numFmt w:val="decimal"/>
      <w:pStyle w:val="Paragraph"/>
      <w:lvlText w:val="%1."/>
      <w:lvlJc w:val="left"/>
      <w:pPr>
        <w:ind w:left="785" w:hanging="360"/>
      </w:pPr>
    </w:lvl>
    <w:lvl w:ilvl="1" w:tplc="08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6"/>
  </w:num>
  <w:num w:numId="4">
    <w:abstractNumId w:val="18"/>
  </w:num>
  <w:num w:numId="5">
    <w:abstractNumId w:val="32"/>
  </w:num>
  <w:num w:numId="6">
    <w:abstractNumId w:val="1"/>
  </w:num>
  <w:num w:numId="7">
    <w:abstractNumId w:val="30"/>
  </w:num>
  <w:num w:numId="8">
    <w:abstractNumId w:val="25"/>
  </w:num>
  <w:num w:numId="9">
    <w:abstractNumId w:val="25"/>
    <w:lvlOverride w:ilvl="0">
      <w:startOverride w:val="1"/>
    </w:lvlOverride>
  </w:num>
  <w:num w:numId="10">
    <w:abstractNumId w:val="25"/>
    <w:lvlOverride w:ilvl="0">
      <w:startOverride w:val="1"/>
    </w:lvlOverride>
  </w:num>
  <w:num w:numId="11">
    <w:abstractNumId w:val="25"/>
    <w:lvlOverride w:ilvl="0">
      <w:startOverride w:val="1"/>
    </w:lvlOverride>
  </w:num>
  <w:num w:numId="12">
    <w:abstractNumId w:val="25"/>
    <w:lvlOverride w:ilvl="0">
      <w:startOverride w:val="1"/>
    </w:lvlOverride>
  </w:num>
  <w:num w:numId="13">
    <w:abstractNumId w:val="25"/>
    <w:lvlOverride w:ilvl="0">
      <w:startOverride w:val="1"/>
    </w:lvlOverride>
  </w:num>
  <w:num w:numId="14">
    <w:abstractNumId w:val="25"/>
    <w:lvlOverride w:ilvl="0">
      <w:startOverride w:val="1"/>
    </w:lvlOverride>
  </w:num>
  <w:num w:numId="15">
    <w:abstractNumId w:val="0"/>
  </w:num>
  <w:num w:numId="16">
    <w:abstractNumId w:val="5"/>
  </w:num>
  <w:num w:numId="17">
    <w:abstractNumId w:val="12"/>
  </w:num>
  <w:num w:numId="18">
    <w:abstractNumId w:val="10"/>
  </w:num>
  <w:num w:numId="19">
    <w:abstractNumId w:val="15"/>
  </w:num>
  <w:num w:numId="20">
    <w:abstractNumId w:val="26"/>
  </w:num>
  <w:num w:numId="21">
    <w:abstractNumId w:val="21"/>
  </w:num>
  <w:num w:numId="22">
    <w:abstractNumId w:val="9"/>
  </w:num>
  <w:num w:numId="23">
    <w:abstractNumId w:val="14"/>
  </w:num>
  <w:num w:numId="24">
    <w:abstractNumId w:val="29"/>
  </w:num>
  <w:num w:numId="25">
    <w:abstractNumId w:val="6"/>
  </w:num>
  <w:num w:numId="26">
    <w:abstractNumId w:val="4"/>
  </w:num>
  <w:num w:numId="27">
    <w:abstractNumId w:val="27"/>
  </w:num>
  <w:num w:numId="28">
    <w:abstractNumId w:val="19"/>
  </w:num>
  <w:num w:numId="29">
    <w:abstractNumId w:val="2"/>
  </w:num>
  <w:num w:numId="30">
    <w:abstractNumId w:val="28"/>
  </w:num>
  <w:num w:numId="31">
    <w:abstractNumId w:val="8"/>
  </w:num>
  <w:num w:numId="32">
    <w:abstractNumId w:val="11"/>
  </w:num>
  <w:num w:numId="33">
    <w:abstractNumId w:val="24"/>
  </w:num>
  <w:num w:numId="34">
    <w:abstractNumId w:val="31"/>
  </w:num>
  <w:num w:numId="35">
    <w:abstractNumId w:val="25"/>
  </w:num>
  <w:num w:numId="36">
    <w:abstractNumId w:val="25"/>
  </w:num>
  <w:num w:numId="37">
    <w:abstractNumId w:val="25"/>
  </w:num>
  <w:num w:numId="38">
    <w:abstractNumId w:val="25"/>
  </w:num>
  <w:num w:numId="39">
    <w:abstractNumId w:val="22"/>
  </w:num>
  <w:num w:numId="40">
    <w:abstractNumId w:val="20"/>
  </w:num>
  <w:num w:numId="41">
    <w:abstractNumId w:val="25"/>
  </w:num>
  <w:num w:numId="42">
    <w:abstractNumId w:val="8"/>
  </w:num>
  <w:num w:numId="43">
    <w:abstractNumId w:val="8"/>
  </w:num>
  <w:num w:numId="44">
    <w:abstractNumId w:val="25"/>
  </w:num>
  <w:num w:numId="45">
    <w:abstractNumId w:val="8"/>
  </w:num>
  <w:num w:numId="46">
    <w:abstractNumId w:val="8"/>
  </w:num>
  <w:num w:numId="47">
    <w:abstractNumId w:val="8"/>
  </w:num>
  <w:num w:numId="48">
    <w:abstractNumId w:val="8"/>
  </w:num>
  <w:num w:numId="49">
    <w:abstractNumId w:val="25"/>
  </w:num>
  <w:num w:numId="50">
    <w:abstractNumId w:val="25"/>
  </w:num>
  <w:num w:numId="51">
    <w:abstractNumId w:val="17"/>
  </w:num>
  <w:num w:numId="52">
    <w:abstractNumId w:val="23"/>
  </w:num>
  <w:num w:numId="53">
    <w:abstractNumId w:val="7"/>
  </w:num>
  <w:num w:numId="54">
    <w:abstractNumId w:val="13"/>
  </w:num>
  <w:num w:numId="55">
    <w:abstractNumId w:val="2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embedSystemFonts/>
  <w:defaultTabStop w:val="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EBA SHORT REPORT"/>
  </w:docVars>
  <w:rsids>
    <w:rsidRoot w:val="004E160A"/>
    <w:rsid w:val="00000CDE"/>
    <w:rsid w:val="00000DE9"/>
    <w:rsid w:val="00003F50"/>
    <w:rsid w:val="00006205"/>
    <w:rsid w:val="000069A9"/>
    <w:rsid w:val="00010D71"/>
    <w:rsid w:val="00013281"/>
    <w:rsid w:val="00014210"/>
    <w:rsid w:val="00015276"/>
    <w:rsid w:val="00016B3D"/>
    <w:rsid w:val="000231B7"/>
    <w:rsid w:val="00025C49"/>
    <w:rsid w:val="00026F92"/>
    <w:rsid w:val="00027CA0"/>
    <w:rsid w:val="00030D65"/>
    <w:rsid w:val="00032E18"/>
    <w:rsid w:val="00033932"/>
    <w:rsid w:val="000351D6"/>
    <w:rsid w:val="00035862"/>
    <w:rsid w:val="00036322"/>
    <w:rsid w:val="00052FFB"/>
    <w:rsid w:val="00057350"/>
    <w:rsid w:val="00060F40"/>
    <w:rsid w:val="00062F45"/>
    <w:rsid w:val="0008330C"/>
    <w:rsid w:val="000843CD"/>
    <w:rsid w:val="00087DC1"/>
    <w:rsid w:val="00087F33"/>
    <w:rsid w:val="00093196"/>
    <w:rsid w:val="00093940"/>
    <w:rsid w:val="000972BC"/>
    <w:rsid w:val="00097F2B"/>
    <w:rsid w:val="000A0D27"/>
    <w:rsid w:val="000A1C81"/>
    <w:rsid w:val="000B1645"/>
    <w:rsid w:val="000C2645"/>
    <w:rsid w:val="000C29A3"/>
    <w:rsid w:val="000C5A8A"/>
    <w:rsid w:val="000D66F6"/>
    <w:rsid w:val="000D7A44"/>
    <w:rsid w:val="000D7C80"/>
    <w:rsid w:val="000E0C27"/>
    <w:rsid w:val="000E3581"/>
    <w:rsid w:val="000E6D15"/>
    <w:rsid w:val="000E6E82"/>
    <w:rsid w:val="000E7CD6"/>
    <w:rsid w:val="000F6495"/>
    <w:rsid w:val="000F6FD8"/>
    <w:rsid w:val="00104BF6"/>
    <w:rsid w:val="001072C5"/>
    <w:rsid w:val="001109CD"/>
    <w:rsid w:val="0011332C"/>
    <w:rsid w:val="00114E0A"/>
    <w:rsid w:val="0011517F"/>
    <w:rsid w:val="00121BB0"/>
    <w:rsid w:val="0012374B"/>
    <w:rsid w:val="00125AFF"/>
    <w:rsid w:val="0013090C"/>
    <w:rsid w:val="00131C5D"/>
    <w:rsid w:val="00141DDB"/>
    <w:rsid w:val="00145D24"/>
    <w:rsid w:val="00147FE9"/>
    <w:rsid w:val="00152832"/>
    <w:rsid w:val="00153C26"/>
    <w:rsid w:val="001570AB"/>
    <w:rsid w:val="00157D76"/>
    <w:rsid w:val="001600FC"/>
    <w:rsid w:val="001610F7"/>
    <w:rsid w:val="00166DCD"/>
    <w:rsid w:val="00171121"/>
    <w:rsid w:val="00172007"/>
    <w:rsid w:val="0017242E"/>
    <w:rsid w:val="0017446F"/>
    <w:rsid w:val="00175032"/>
    <w:rsid w:val="001755CA"/>
    <w:rsid w:val="0017676B"/>
    <w:rsid w:val="001834D4"/>
    <w:rsid w:val="001836A7"/>
    <w:rsid w:val="00190E5E"/>
    <w:rsid w:val="00191244"/>
    <w:rsid w:val="00192287"/>
    <w:rsid w:val="00194841"/>
    <w:rsid w:val="001A016C"/>
    <w:rsid w:val="001A023A"/>
    <w:rsid w:val="001A236F"/>
    <w:rsid w:val="001A2A81"/>
    <w:rsid w:val="001A2F88"/>
    <w:rsid w:val="001A690D"/>
    <w:rsid w:val="001A716E"/>
    <w:rsid w:val="001B2C0D"/>
    <w:rsid w:val="001B3A5E"/>
    <w:rsid w:val="001B6017"/>
    <w:rsid w:val="001B74EF"/>
    <w:rsid w:val="001B7A0B"/>
    <w:rsid w:val="001B7EB3"/>
    <w:rsid w:val="001C1FD9"/>
    <w:rsid w:val="001C5043"/>
    <w:rsid w:val="001C55B8"/>
    <w:rsid w:val="001C5BC2"/>
    <w:rsid w:val="001D0179"/>
    <w:rsid w:val="001D0ECA"/>
    <w:rsid w:val="001E1188"/>
    <w:rsid w:val="001E3599"/>
    <w:rsid w:val="001E3601"/>
    <w:rsid w:val="001E720D"/>
    <w:rsid w:val="001E73E0"/>
    <w:rsid w:val="001F1CB9"/>
    <w:rsid w:val="001F1E8A"/>
    <w:rsid w:val="001F35D1"/>
    <w:rsid w:val="001F572A"/>
    <w:rsid w:val="001F7501"/>
    <w:rsid w:val="00200BD2"/>
    <w:rsid w:val="002040DB"/>
    <w:rsid w:val="00205878"/>
    <w:rsid w:val="00210559"/>
    <w:rsid w:val="00213D7B"/>
    <w:rsid w:val="00214DEC"/>
    <w:rsid w:val="002214CC"/>
    <w:rsid w:val="00224761"/>
    <w:rsid w:val="00224A3F"/>
    <w:rsid w:val="00225D77"/>
    <w:rsid w:val="002268DA"/>
    <w:rsid w:val="00227FA4"/>
    <w:rsid w:val="002306C7"/>
    <w:rsid w:val="002326C6"/>
    <w:rsid w:val="00232CB9"/>
    <w:rsid w:val="00240789"/>
    <w:rsid w:val="00241BD8"/>
    <w:rsid w:val="002434B0"/>
    <w:rsid w:val="0024567D"/>
    <w:rsid w:val="00245B9F"/>
    <w:rsid w:val="00245FF8"/>
    <w:rsid w:val="00254634"/>
    <w:rsid w:val="00260E8C"/>
    <w:rsid w:val="002613A6"/>
    <w:rsid w:val="00263258"/>
    <w:rsid w:val="002662BF"/>
    <w:rsid w:val="00272D2D"/>
    <w:rsid w:val="0027418E"/>
    <w:rsid w:val="00284425"/>
    <w:rsid w:val="00285AB7"/>
    <w:rsid w:val="00287055"/>
    <w:rsid w:val="00290DA3"/>
    <w:rsid w:val="00297EA3"/>
    <w:rsid w:val="002A12E3"/>
    <w:rsid w:val="002A658C"/>
    <w:rsid w:val="002A7D7C"/>
    <w:rsid w:val="002A7F53"/>
    <w:rsid w:val="002B3344"/>
    <w:rsid w:val="002B6F3D"/>
    <w:rsid w:val="002C0DCF"/>
    <w:rsid w:val="002C35DD"/>
    <w:rsid w:val="002C3E7A"/>
    <w:rsid w:val="002C5B8A"/>
    <w:rsid w:val="002D1867"/>
    <w:rsid w:val="002D1D47"/>
    <w:rsid w:val="002D55D1"/>
    <w:rsid w:val="002E6C26"/>
    <w:rsid w:val="002F1296"/>
    <w:rsid w:val="002F2009"/>
    <w:rsid w:val="002F528A"/>
    <w:rsid w:val="002F6CF0"/>
    <w:rsid w:val="00300924"/>
    <w:rsid w:val="003025A8"/>
    <w:rsid w:val="00312622"/>
    <w:rsid w:val="003129B6"/>
    <w:rsid w:val="00314D6E"/>
    <w:rsid w:val="00320E57"/>
    <w:rsid w:val="003221EF"/>
    <w:rsid w:val="00324319"/>
    <w:rsid w:val="003248A2"/>
    <w:rsid w:val="00325322"/>
    <w:rsid w:val="003311F5"/>
    <w:rsid w:val="00333FE1"/>
    <w:rsid w:val="0035415A"/>
    <w:rsid w:val="0035477B"/>
    <w:rsid w:val="00366267"/>
    <w:rsid w:val="00366D05"/>
    <w:rsid w:val="00372350"/>
    <w:rsid w:val="00372BEC"/>
    <w:rsid w:val="003761D2"/>
    <w:rsid w:val="0038116B"/>
    <w:rsid w:val="00382158"/>
    <w:rsid w:val="00384C5D"/>
    <w:rsid w:val="0039037C"/>
    <w:rsid w:val="00392385"/>
    <w:rsid w:val="003A1AE9"/>
    <w:rsid w:val="003A28B6"/>
    <w:rsid w:val="003B31AB"/>
    <w:rsid w:val="003B3659"/>
    <w:rsid w:val="003B5496"/>
    <w:rsid w:val="003B7E54"/>
    <w:rsid w:val="003C27B1"/>
    <w:rsid w:val="003C70FC"/>
    <w:rsid w:val="003D0692"/>
    <w:rsid w:val="003D2BB3"/>
    <w:rsid w:val="003D3650"/>
    <w:rsid w:val="003D5A20"/>
    <w:rsid w:val="003D7A72"/>
    <w:rsid w:val="003E06FF"/>
    <w:rsid w:val="003E2018"/>
    <w:rsid w:val="003E62AD"/>
    <w:rsid w:val="003F1EDC"/>
    <w:rsid w:val="00400FB6"/>
    <w:rsid w:val="00412567"/>
    <w:rsid w:val="00413E62"/>
    <w:rsid w:val="00416C43"/>
    <w:rsid w:val="0041788D"/>
    <w:rsid w:val="00424530"/>
    <w:rsid w:val="004268D8"/>
    <w:rsid w:val="0043577F"/>
    <w:rsid w:val="00441F85"/>
    <w:rsid w:val="00442CB9"/>
    <w:rsid w:val="00450321"/>
    <w:rsid w:val="0045288B"/>
    <w:rsid w:val="0045301B"/>
    <w:rsid w:val="00454CDA"/>
    <w:rsid w:val="00455E0E"/>
    <w:rsid w:val="004602B2"/>
    <w:rsid w:val="00464D24"/>
    <w:rsid w:val="00467E38"/>
    <w:rsid w:val="004719B4"/>
    <w:rsid w:val="00471CA1"/>
    <w:rsid w:val="00471CCE"/>
    <w:rsid w:val="0047217D"/>
    <w:rsid w:val="00475282"/>
    <w:rsid w:val="00481AC4"/>
    <w:rsid w:val="00482D14"/>
    <w:rsid w:val="00482FB6"/>
    <w:rsid w:val="00483E1B"/>
    <w:rsid w:val="00484CD8"/>
    <w:rsid w:val="004A383B"/>
    <w:rsid w:val="004A5D8B"/>
    <w:rsid w:val="004A7ED9"/>
    <w:rsid w:val="004A7F9D"/>
    <w:rsid w:val="004B10CD"/>
    <w:rsid w:val="004B2FC0"/>
    <w:rsid w:val="004B7065"/>
    <w:rsid w:val="004B7784"/>
    <w:rsid w:val="004C1B19"/>
    <w:rsid w:val="004C39C2"/>
    <w:rsid w:val="004C4FB5"/>
    <w:rsid w:val="004C6392"/>
    <w:rsid w:val="004D1822"/>
    <w:rsid w:val="004E15B2"/>
    <w:rsid w:val="004E160A"/>
    <w:rsid w:val="004E18E6"/>
    <w:rsid w:val="004E405B"/>
    <w:rsid w:val="004E7D98"/>
    <w:rsid w:val="004F0AB6"/>
    <w:rsid w:val="004F1522"/>
    <w:rsid w:val="004F2BC0"/>
    <w:rsid w:val="004F63DB"/>
    <w:rsid w:val="004F73DB"/>
    <w:rsid w:val="005036DC"/>
    <w:rsid w:val="00507BFF"/>
    <w:rsid w:val="005105EF"/>
    <w:rsid w:val="005144FF"/>
    <w:rsid w:val="00523895"/>
    <w:rsid w:val="00524920"/>
    <w:rsid w:val="00532352"/>
    <w:rsid w:val="00536E1C"/>
    <w:rsid w:val="00540BB7"/>
    <w:rsid w:val="005410AB"/>
    <w:rsid w:val="00543EE9"/>
    <w:rsid w:val="005506D4"/>
    <w:rsid w:val="00551699"/>
    <w:rsid w:val="005527E3"/>
    <w:rsid w:val="00553D2F"/>
    <w:rsid w:val="005618CE"/>
    <w:rsid w:val="00565691"/>
    <w:rsid w:val="00567919"/>
    <w:rsid w:val="00571BB6"/>
    <w:rsid w:val="00571D80"/>
    <w:rsid w:val="005744D9"/>
    <w:rsid w:val="00575BA7"/>
    <w:rsid w:val="00582AA7"/>
    <w:rsid w:val="0058477C"/>
    <w:rsid w:val="00590FB5"/>
    <w:rsid w:val="005918FA"/>
    <w:rsid w:val="00591F9E"/>
    <w:rsid w:val="005970E3"/>
    <w:rsid w:val="005B5C09"/>
    <w:rsid w:val="005C40AB"/>
    <w:rsid w:val="005C4442"/>
    <w:rsid w:val="005C48E7"/>
    <w:rsid w:val="005C498B"/>
    <w:rsid w:val="005C569C"/>
    <w:rsid w:val="005D4005"/>
    <w:rsid w:val="005D40D1"/>
    <w:rsid w:val="005D6BD6"/>
    <w:rsid w:val="005E2101"/>
    <w:rsid w:val="005E281D"/>
    <w:rsid w:val="005E4CD9"/>
    <w:rsid w:val="005F0395"/>
    <w:rsid w:val="005F05D7"/>
    <w:rsid w:val="005F12D5"/>
    <w:rsid w:val="005F36CA"/>
    <w:rsid w:val="005F3ADF"/>
    <w:rsid w:val="005F56FF"/>
    <w:rsid w:val="00606C96"/>
    <w:rsid w:val="00607FD8"/>
    <w:rsid w:val="00610305"/>
    <w:rsid w:val="00610419"/>
    <w:rsid w:val="00611DDB"/>
    <w:rsid w:val="00612C7B"/>
    <w:rsid w:val="006224C1"/>
    <w:rsid w:val="00622F6D"/>
    <w:rsid w:val="00625540"/>
    <w:rsid w:val="00626561"/>
    <w:rsid w:val="006269B7"/>
    <w:rsid w:val="006322B8"/>
    <w:rsid w:val="00633DC7"/>
    <w:rsid w:val="00636E1D"/>
    <w:rsid w:val="00637EBA"/>
    <w:rsid w:val="006457D0"/>
    <w:rsid w:val="00662C54"/>
    <w:rsid w:val="006634CD"/>
    <w:rsid w:val="00663B0A"/>
    <w:rsid w:val="006641F8"/>
    <w:rsid w:val="00665925"/>
    <w:rsid w:val="00670254"/>
    <w:rsid w:val="00670B56"/>
    <w:rsid w:val="00674D7F"/>
    <w:rsid w:val="00683926"/>
    <w:rsid w:val="00683B02"/>
    <w:rsid w:val="006916D9"/>
    <w:rsid w:val="00692097"/>
    <w:rsid w:val="00696E7D"/>
    <w:rsid w:val="006973AC"/>
    <w:rsid w:val="006A2EFD"/>
    <w:rsid w:val="006A4317"/>
    <w:rsid w:val="006A4A1D"/>
    <w:rsid w:val="006A5845"/>
    <w:rsid w:val="006B30EB"/>
    <w:rsid w:val="006B4F99"/>
    <w:rsid w:val="006C186D"/>
    <w:rsid w:val="006C4821"/>
    <w:rsid w:val="006D5E19"/>
    <w:rsid w:val="006F445D"/>
    <w:rsid w:val="00703E4E"/>
    <w:rsid w:val="007071C6"/>
    <w:rsid w:val="00711E1C"/>
    <w:rsid w:val="00713F6E"/>
    <w:rsid w:val="00717E68"/>
    <w:rsid w:val="00721FBA"/>
    <w:rsid w:val="00724F1F"/>
    <w:rsid w:val="007250A7"/>
    <w:rsid w:val="00730012"/>
    <w:rsid w:val="00730352"/>
    <w:rsid w:val="007304AC"/>
    <w:rsid w:val="007409DB"/>
    <w:rsid w:val="00742839"/>
    <w:rsid w:val="0074573B"/>
    <w:rsid w:val="00752AC6"/>
    <w:rsid w:val="00755505"/>
    <w:rsid w:val="0076316D"/>
    <w:rsid w:val="007668EC"/>
    <w:rsid w:val="00771AF1"/>
    <w:rsid w:val="00772993"/>
    <w:rsid w:val="00773C01"/>
    <w:rsid w:val="00775496"/>
    <w:rsid w:val="00780580"/>
    <w:rsid w:val="007815FB"/>
    <w:rsid w:val="00781D80"/>
    <w:rsid w:val="007836BA"/>
    <w:rsid w:val="0078590E"/>
    <w:rsid w:val="007861AC"/>
    <w:rsid w:val="00791CB1"/>
    <w:rsid w:val="00796869"/>
    <w:rsid w:val="007A0054"/>
    <w:rsid w:val="007A24D7"/>
    <w:rsid w:val="007A44A6"/>
    <w:rsid w:val="007A5353"/>
    <w:rsid w:val="007A606E"/>
    <w:rsid w:val="007B3685"/>
    <w:rsid w:val="007B3D63"/>
    <w:rsid w:val="007B6937"/>
    <w:rsid w:val="007C015E"/>
    <w:rsid w:val="007C05FC"/>
    <w:rsid w:val="007C258C"/>
    <w:rsid w:val="007C4C8E"/>
    <w:rsid w:val="007C55D0"/>
    <w:rsid w:val="007C7B33"/>
    <w:rsid w:val="007D15E5"/>
    <w:rsid w:val="007D2394"/>
    <w:rsid w:val="007E428E"/>
    <w:rsid w:val="007E5DE3"/>
    <w:rsid w:val="007E7CB3"/>
    <w:rsid w:val="007F1F2C"/>
    <w:rsid w:val="008019A5"/>
    <w:rsid w:val="00804343"/>
    <w:rsid w:val="008060CB"/>
    <w:rsid w:val="00810EDF"/>
    <w:rsid w:val="00813BAC"/>
    <w:rsid w:val="00813CD4"/>
    <w:rsid w:val="00821472"/>
    <w:rsid w:val="00821B9D"/>
    <w:rsid w:val="00825B9E"/>
    <w:rsid w:val="00825BB4"/>
    <w:rsid w:val="00827599"/>
    <w:rsid w:val="00831BD5"/>
    <w:rsid w:val="00831EEF"/>
    <w:rsid w:val="00834113"/>
    <w:rsid w:val="008354B2"/>
    <w:rsid w:val="008404CE"/>
    <w:rsid w:val="0084468C"/>
    <w:rsid w:val="00847035"/>
    <w:rsid w:val="0085260F"/>
    <w:rsid w:val="008552A0"/>
    <w:rsid w:val="00860525"/>
    <w:rsid w:val="00864B9E"/>
    <w:rsid w:val="00865492"/>
    <w:rsid w:val="00867CB4"/>
    <w:rsid w:val="00870225"/>
    <w:rsid w:val="008708AB"/>
    <w:rsid w:val="00873312"/>
    <w:rsid w:val="00873D40"/>
    <w:rsid w:val="00874A94"/>
    <w:rsid w:val="00874ED5"/>
    <w:rsid w:val="00874F83"/>
    <w:rsid w:val="0087603A"/>
    <w:rsid w:val="00876B8B"/>
    <w:rsid w:val="00883E4D"/>
    <w:rsid w:val="00886C56"/>
    <w:rsid w:val="008927C1"/>
    <w:rsid w:val="00892B01"/>
    <w:rsid w:val="00894446"/>
    <w:rsid w:val="0089514E"/>
    <w:rsid w:val="0089777E"/>
    <w:rsid w:val="008A12E8"/>
    <w:rsid w:val="008A1F18"/>
    <w:rsid w:val="008A2942"/>
    <w:rsid w:val="008A4E54"/>
    <w:rsid w:val="008B2DCC"/>
    <w:rsid w:val="008B7151"/>
    <w:rsid w:val="008B7AB3"/>
    <w:rsid w:val="008C5B82"/>
    <w:rsid w:val="008C64DC"/>
    <w:rsid w:val="008D0886"/>
    <w:rsid w:val="008D6082"/>
    <w:rsid w:val="008E18C5"/>
    <w:rsid w:val="008E4A6D"/>
    <w:rsid w:val="008E63DC"/>
    <w:rsid w:val="008F03FF"/>
    <w:rsid w:val="008F138D"/>
    <w:rsid w:val="008F3908"/>
    <w:rsid w:val="008F4ABE"/>
    <w:rsid w:val="009014B6"/>
    <w:rsid w:val="009058AF"/>
    <w:rsid w:val="00910418"/>
    <w:rsid w:val="00912882"/>
    <w:rsid w:val="00912895"/>
    <w:rsid w:val="00913569"/>
    <w:rsid w:val="00913FF1"/>
    <w:rsid w:val="0091548C"/>
    <w:rsid w:val="009210DE"/>
    <w:rsid w:val="009216C4"/>
    <w:rsid w:val="00921EDE"/>
    <w:rsid w:val="00924D3B"/>
    <w:rsid w:val="009250E4"/>
    <w:rsid w:val="009252BA"/>
    <w:rsid w:val="00936D5C"/>
    <w:rsid w:val="00936DE2"/>
    <w:rsid w:val="00943B87"/>
    <w:rsid w:val="00952C61"/>
    <w:rsid w:val="00954FFD"/>
    <w:rsid w:val="0096160F"/>
    <w:rsid w:val="00965B80"/>
    <w:rsid w:val="009707D2"/>
    <w:rsid w:val="00971D4E"/>
    <w:rsid w:val="0097323B"/>
    <w:rsid w:val="0097396D"/>
    <w:rsid w:val="00975580"/>
    <w:rsid w:val="009929ED"/>
    <w:rsid w:val="00995CD7"/>
    <w:rsid w:val="009A3096"/>
    <w:rsid w:val="009A56CF"/>
    <w:rsid w:val="009A6BB6"/>
    <w:rsid w:val="009B2CEA"/>
    <w:rsid w:val="009B3409"/>
    <w:rsid w:val="009B64CB"/>
    <w:rsid w:val="009C0C33"/>
    <w:rsid w:val="009C11C7"/>
    <w:rsid w:val="009C12C9"/>
    <w:rsid w:val="009C1CE7"/>
    <w:rsid w:val="009D55F7"/>
    <w:rsid w:val="009D6BE1"/>
    <w:rsid w:val="009E3338"/>
    <w:rsid w:val="009E76BE"/>
    <w:rsid w:val="009E79BF"/>
    <w:rsid w:val="009F3FE6"/>
    <w:rsid w:val="009F53AF"/>
    <w:rsid w:val="009F655A"/>
    <w:rsid w:val="00A00E34"/>
    <w:rsid w:val="00A0216B"/>
    <w:rsid w:val="00A02F8A"/>
    <w:rsid w:val="00A10257"/>
    <w:rsid w:val="00A14332"/>
    <w:rsid w:val="00A21A7B"/>
    <w:rsid w:val="00A2787D"/>
    <w:rsid w:val="00A27D88"/>
    <w:rsid w:val="00A304D0"/>
    <w:rsid w:val="00A3276E"/>
    <w:rsid w:val="00A35D44"/>
    <w:rsid w:val="00A4000F"/>
    <w:rsid w:val="00A4607D"/>
    <w:rsid w:val="00A53EC9"/>
    <w:rsid w:val="00A55627"/>
    <w:rsid w:val="00A561A3"/>
    <w:rsid w:val="00A6078E"/>
    <w:rsid w:val="00A615F8"/>
    <w:rsid w:val="00A651D6"/>
    <w:rsid w:val="00A774CB"/>
    <w:rsid w:val="00A8796D"/>
    <w:rsid w:val="00A87D9F"/>
    <w:rsid w:val="00A92440"/>
    <w:rsid w:val="00A93E4C"/>
    <w:rsid w:val="00A940FC"/>
    <w:rsid w:val="00A94C96"/>
    <w:rsid w:val="00AA4857"/>
    <w:rsid w:val="00AB0623"/>
    <w:rsid w:val="00AB104D"/>
    <w:rsid w:val="00AB3336"/>
    <w:rsid w:val="00AB396A"/>
    <w:rsid w:val="00AB5C82"/>
    <w:rsid w:val="00AB5E53"/>
    <w:rsid w:val="00AB65C6"/>
    <w:rsid w:val="00AC1D58"/>
    <w:rsid w:val="00AD0988"/>
    <w:rsid w:val="00AD0C73"/>
    <w:rsid w:val="00AE1A2D"/>
    <w:rsid w:val="00AE39E3"/>
    <w:rsid w:val="00AE5347"/>
    <w:rsid w:val="00AE55F6"/>
    <w:rsid w:val="00AE56DB"/>
    <w:rsid w:val="00AE6929"/>
    <w:rsid w:val="00AF2077"/>
    <w:rsid w:val="00AF58B2"/>
    <w:rsid w:val="00B04A92"/>
    <w:rsid w:val="00B04CA9"/>
    <w:rsid w:val="00B06A3B"/>
    <w:rsid w:val="00B13C87"/>
    <w:rsid w:val="00B14230"/>
    <w:rsid w:val="00B16CDE"/>
    <w:rsid w:val="00B1710D"/>
    <w:rsid w:val="00B32405"/>
    <w:rsid w:val="00B32510"/>
    <w:rsid w:val="00B36A68"/>
    <w:rsid w:val="00B36D5E"/>
    <w:rsid w:val="00B36E94"/>
    <w:rsid w:val="00B40176"/>
    <w:rsid w:val="00B4521D"/>
    <w:rsid w:val="00B45B66"/>
    <w:rsid w:val="00B4791F"/>
    <w:rsid w:val="00B516F9"/>
    <w:rsid w:val="00B526A8"/>
    <w:rsid w:val="00B55FAB"/>
    <w:rsid w:val="00B5696C"/>
    <w:rsid w:val="00B61349"/>
    <w:rsid w:val="00B6734E"/>
    <w:rsid w:val="00B75573"/>
    <w:rsid w:val="00B778A1"/>
    <w:rsid w:val="00B83D9D"/>
    <w:rsid w:val="00B84529"/>
    <w:rsid w:val="00B85D67"/>
    <w:rsid w:val="00B903B8"/>
    <w:rsid w:val="00B910EC"/>
    <w:rsid w:val="00B930A4"/>
    <w:rsid w:val="00B9454F"/>
    <w:rsid w:val="00B94F17"/>
    <w:rsid w:val="00B96F7F"/>
    <w:rsid w:val="00BB2111"/>
    <w:rsid w:val="00BB2729"/>
    <w:rsid w:val="00BB6ECE"/>
    <w:rsid w:val="00BB7C6D"/>
    <w:rsid w:val="00BC4342"/>
    <w:rsid w:val="00BC689F"/>
    <w:rsid w:val="00BC7FD2"/>
    <w:rsid w:val="00BD01BB"/>
    <w:rsid w:val="00BE384C"/>
    <w:rsid w:val="00BE6199"/>
    <w:rsid w:val="00BE6527"/>
    <w:rsid w:val="00BE6DB8"/>
    <w:rsid w:val="00C00E91"/>
    <w:rsid w:val="00C01AEA"/>
    <w:rsid w:val="00C03AE7"/>
    <w:rsid w:val="00C05D9D"/>
    <w:rsid w:val="00C13158"/>
    <w:rsid w:val="00C22A4C"/>
    <w:rsid w:val="00C24BD8"/>
    <w:rsid w:val="00C30816"/>
    <w:rsid w:val="00C35592"/>
    <w:rsid w:val="00C356AF"/>
    <w:rsid w:val="00C41927"/>
    <w:rsid w:val="00C42AA9"/>
    <w:rsid w:val="00C439D6"/>
    <w:rsid w:val="00C43FD9"/>
    <w:rsid w:val="00C44EB2"/>
    <w:rsid w:val="00C459CF"/>
    <w:rsid w:val="00C45D4A"/>
    <w:rsid w:val="00C46E50"/>
    <w:rsid w:val="00C47A5A"/>
    <w:rsid w:val="00C47E8F"/>
    <w:rsid w:val="00C519C1"/>
    <w:rsid w:val="00C60555"/>
    <w:rsid w:val="00C60915"/>
    <w:rsid w:val="00C62913"/>
    <w:rsid w:val="00C65DE9"/>
    <w:rsid w:val="00C67B7C"/>
    <w:rsid w:val="00C746C8"/>
    <w:rsid w:val="00C76E4C"/>
    <w:rsid w:val="00C91B21"/>
    <w:rsid w:val="00C92061"/>
    <w:rsid w:val="00C964B8"/>
    <w:rsid w:val="00C9787F"/>
    <w:rsid w:val="00CA097E"/>
    <w:rsid w:val="00CA7EBA"/>
    <w:rsid w:val="00CB2DAC"/>
    <w:rsid w:val="00CC50AA"/>
    <w:rsid w:val="00CC6198"/>
    <w:rsid w:val="00CD1257"/>
    <w:rsid w:val="00CD5BC4"/>
    <w:rsid w:val="00CD5DA4"/>
    <w:rsid w:val="00CE04D9"/>
    <w:rsid w:val="00CE41B4"/>
    <w:rsid w:val="00CE6DE5"/>
    <w:rsid w:val="00CF06B0"/>
    <w:rsid w:val="00CF2311"/>
    <w:rsid w:val="00CF3412"/>
    <w:rsid w:val="00CF5A63"/>
    <w:rsid w:val="00D01670"/>
    <w:rsid w:val="00D057CD"/>
    <w:rsid w:val="00D13BBF"/>
    <w:rsid w:val="00D15249"/>
    <w:rsid w:val="00D152E7"/>
    <w:rsid w:val="00D21F91"/>
    <w:rsid w:val="00D2291E"/>
    <w:rsid w:val="00D248E3"/>
    <w:rsid w:val="00D266B5"/>
    <w:rsid w:val="00D30519"/>
    <w:rsid w:val="00D427D2"/>
    <w:rsid w:val="00D42A3E"/>
    <w:rsid w:val="00D42A90"/>
    <w:rsid w:val="00D44360"/>
    <w:rsid w:val="00D50E72"/>
    <w:rsid w:val="00D50FFD"/>
    <w:rsid w:val="00D52383"/>
    <w:rsid w:val="00D54686"/>
    <w:rsid w:val="00D549B9"/>
    <w:rsid w:val="00D557EE"/>
    <w:rsid w:val="00D56058"/>
    <w:rsid w:val="00D57F4B"/>
    <w:rsid w:val="00D63A88"/>
    <w:rsid w:val="00D656AD"/>
    <w:rsid w:val="00D7084A"/>
    <w:rsid w:val="00D70FE9"/>
    <w:rsid w:val="00D74683"/>
    <w:rsid w:val="00D76E91"/>
    <w:rsid w:val="00D848B3"/>
    <w:rsid w:val="00D872D1"/>
    <w:rsid w:val="00D94CDD"/>
    <w:rsid w:val="00D95722"/>
    <w:rsid w:val="00DA5265"/>
    <w:rsid w:val="00DA63B7"/>
    <w:rsid w:val="00DB4809"/>
    <w:rsid w:val="00DB59C6"/>
    <w:rsid w:val="00DB5E8F"/>
    <w:rsid w:val="00DB634B"/>
    <w:rsid w:val="00DC1511"/>
    <w:rsid w:val="00DC4B65"/>
    <w:rsid w:val="00DC5FBF"/>
    <w:rsid w:val="00DC7C3E"/>
    <w:rsid w:val="00DD129E"/>
    <w:rsid w:val="00DD227B"/>
    <w:rsid w:val="00DD5EF5"/>
    <w:rsid w:val="00DE082A"/>
    <w:rsid w:val="00DE30E0"/>
    <w:rsid w:val="00DE79E9"/>
    <w:rsid w:val="00DF1288"/>
    <w:rsid w:val="00E00BB5"/>
    <w:rsid w:val="00E02EE0"/>
    <w:rsid w:val="00E0491F"/>
    <w:rsid w:val="00E101E9"/>
    <w:rsid w:val="00E11150"/>
    <w:rsid w:val="00E1277B"/>
    <w:rsid w:val="00E12A26"/>
    <w:rsid w:val="00E14C9C"/>
    <w:rsid w:val="00E20A17"/>
    <w:rsid w:val="00E219FB"/>
    <w:rsid w:val="00E22132"/>
    <w:rsid w:val="00E22BCE"/>
    <w:rsid w:val="00E326FF"/>
    <w:rsid w:val="00E361B0"/>
    <w:rsid w:val="00E37584"/>
    <w:rsid w:val="00E4051D"/>
    <w:rsid w:val="00E41BF5"/>
    <w:rsid w:val="00E458D6"/>
    <w:rsid w:val="00E46B4F"/>
    <w:rsid w:val="00E52267"/>
    <w:rsid w:val="00E5783C"/>
    <w:rsid w:val="00E62DB8"/>
    <w:rsid w:val="00E64563"/>
    <w:rsid w:val="00E677EF"/>
    <w:rsid w:val="00E77739"/>
    <w:rsid w:val="00E77AC4"/>
    <w:rsid w:val="00E81B59"/>
    <w:rsid w:val="00E859DF"/>
    <w:rsid w:val="00E868C7"/>
    <w:rsid w:val="00E87041"/>
    <w:rsid w:val="00E91434"/>
    <w:rsid w:val="00E95201"/>
    <w:rsid w:val="00E97C2F"/>
    <w:rsid w:val="00EA1807"/>
    <w:rsid w:val="00EA4947"/>
    <w:rsid w:val="00EA5D53"/>
    <w:rsid w:val="00EB1ADD"/>
    <w:rsid w:val="00EB3A43"/>
    <w:rsid w:val="00EB55F4"/>
    <w:rsid w:val="00EB5F69"/>
    <w:rsid w:val="00EB7924"/>
    <w:rsid w:val="00EC0C41"/>
    <w:rsid w:val="00EC1594"/>
    <w:rsid w:val="00EC2530"/>
    <w:rsid w:val="00EC6E15"/>
    <w:rsid w:val="00EC7333"/>
    <w:rsid w:val="00ED0519"/>
    <w:rsid w:val="00ED1FBE"/>
    <w:rsid w:val="00EE456B"/>
    <w:rsid w:val="00EE5E3A"/>
    <w:rsid w:val="00EE775D"/>
    <w:rsid w:val="00EE7900"/>
    <w:rsid w:val="00EF20B7"/>
    <w:rsid w:val="00F00670"/>
    <w:rsid w:val="00F00C37"/>
    <w:rsid w:val="00F034AC"/>
    <w:rsid w:val="00F04125"/>
    <w:rsid w:val="00F045E9"/>
    <w:rsid w:val="00F0661B"/>
    <w:rsid w:val="00F06C8C"/>
    <w:rsid w:val="00F10ADA"/>
    <w:rsid w:val="00F10F49"/>
    <w:rsid w:val="00F12F28"/>
    <w:rsid w:val="00F14F6D"/>
    <w:rsid w:val="00F160D2"/>
    <w:rsid w:val="00F20607"/>
    <w:rsid w:val="00F21798"/>
    <w:rsid w:val="00F23638"/>
    <w:rsid w:val="00F23FB7"/>
    <w:rsid w:val="00F24F13"/>
    <w:rsid w:val="00F270B9"/>
    <w:rsid w:val="00F27B21"/>
    <w:rsid w:val="00F33CF2"/>
    <w:rsid w:val="00F35648"/>
    <w:rsid w:val="00F417AD"/>
    <w:rsid w:val="00F434D1"/>
    <w:rsid w:val="00F4748D"/>
    <w:rsid w:val="00F54BA5"/>
    <w:rsid w:val="00F575CF"/>
    <w:rsid w:val="00F6101E"/>
    <w:rsid w:val="00F612B3"/>
    <w:rsid w:val="00F66F0E"/>
    <w:rsid w:val="00F6791E"/>
    <w:rsid w:val="00F7064A"/>
    <w:rsid w:val="00F747AD"/>
    <w:rsid w:val="00F76E9E"/>
    <w:rsid w:val="00F815E0"/>
    <w:rsid w:val="00F83DD3"/>
    <w:rsid w:val="00F942CA"/>
    <w:rsid w:val="00F9452C"/>
    <w:rsid w:val="00F96B88"/>
    <w:rsid w:val="00FB6B29"/>
    <w:rsid w:val="00FB7206"/>
    <w:rsid w:val="00FC1D72"/>
    <w:rsid w:val="00FC5496"/>
    <w:rsid w:val="00FC5912"/>
    <w:rsid w:val="00FE5577"/>
    <w:rsid w:val="00FF188A"/>
    <w:rsid w:val="00FF34C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CCBF669"/>
  <w15:docId w15:val="{73272D59-F9EC-4477-9AEF-B781FC18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DA3"/>
    <w:rPr>
      <w:sz w:val="22"/>
      <w:lang w:val="en-GB"/>
    </w:rPr>
  </w:style>
  <w:style w:type="paragraph" w:styleId="Heading1">
    <w:name w:val="heading 1"/>
    <w:aliases w:val="Cover title white"/>
    <w:next w:val="Normal"/>
    <w:link w:val="Heading1Char"/>
    <w:semiHidden/>
    <w:qFormat/>
    <w:rsid w:val="00B32510"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2F200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qFormat/>
    <w:rsid w:val="002F200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C5BC2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B325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5BC2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5BC2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5BC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5BC2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semiHidden/>
    <w:rsid w:val="00290DA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rsid w:val="00482FB6"/>
    <w:pPr>
      <w:numPr>
        <w:numId w:val="7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rsid w:val="00BE6527"/>
    <w:pPr>
      <w:numPr>
        <w:numId w:val="31"/>
      </w:numPr>
    </w:pPr>
  </w:style>
  <w:style w:type="paragraph" w:customStyle="1" w:styleId="Titlelevel2">
    <w:name w:val="Title level 2"/>
    <w:qFormat/>
    <w:rsid w:val="000C29A3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BE6199"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rsid w:val="00582AA7"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AA7"/>
    <w:rPr>
      <w:rFonts w:asciiTheme="majorHAnsi" w:eastAsiaTheme="majorEastAsia" w:hAnsiTheme="majorHAnsi" w:cstheme="majorBidi"/>
      <w:b/>
      <w:bCs/>
      <w:i/>
      <w:iCs/>
      <w:color w:val="2F5773" w:themeColor="accent1"/>
      <w:sz w:val="22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290DA3"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AA7"/>
    <w:rPr>
      <w:rFonts w:asciiTheme="majorHAnsi" w:eastAsiaTheme="majorEastAsia" w:hAnsiTheme="majorHAnsi" w:cstheme="majorBidi"/>
      <w:i/>
      <w:iCs/>
      <w:color w:val="172B39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AA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rsid w:val="00813BAC"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en-GB" w:eastAsia="en-GB"/>
    </w:rPr>
  </w:style>
  <w:style w:type="paragraph" w:customStyle="1" w:styleId="List1">
    <w:name w:val="List1"/>
    <w:autoRedefine/>
    <w:qFormat/>
    <w:rsid w:val="008F3908"/>
    <w:pPr>
      <w:numPr>
        <w:numId w:val="5"/>
      </w:numPr>
    </w:pPr>
    <w:rPr>
      <w:sz w:val="22"/>
      <w:szCs w:val="22"/>
    </w:rPr>
  </w:style>
  <w:style w:type="paragraph" w:styleId="Footer">
    <w:name w:val="footer"/>
    <w:basedOn w:val="Normal"/>
    <w:link w:val="FooterChar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basedOn w:val="TableProfessional"/>
    <w:uiPriority w:val="59"/>
    <w:rsid w:val="00A14332"/>
    <w:rPr>
      <w:sz w:val="20"/>
      <w:szCs w:val="20"/>
      <w:lang w:val="en-GB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7A0054"/>
    <w:pPr>
      <w:numPr>
        <w:numId w:val="6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rsid w:val="00C45D4A"/>
    <w:pPr>
      <w:keepNext/>
      <w:spacing w:before="0" w:after="80"/>
      <w:jc w:val="left"/>
    </w:pPr>
    <w:rPr>
      <w:rFonts w:eastAsia="Times New Roman" w:cs="Times New Roman"/>
      <w:bCs/>
      <w:noProof/>
      <w:color w:val="2F5773" w:themeColor="text2"/>
      <w:szCs w:val="20"/>
      <w:lang w:val="en-GB"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rsid w:val="0074573B"/>
    <w:pPr>
      <w:spacing w:before="80" w:after="0" w:line="200" w:lineRule="exact"/>
      <w:jc w:val="lef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74573B"/>
    <w:rPr>
      <w:sz w:val="18"/>
      <w:szCs w:val="18"/>
    </w:rPr>
  </w:style>
  <w:style w:type="character" w:styleId="FootnoteReference">
    <w:name w:val="footnote reference"/>
    <w:basedOn w:val="DefaultParagraphFont"/>
    <w:qFormat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C5BC2"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rsid w:val="00C47E8F"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rsid w:val="00C41927"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63B0A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C5BC2"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BE6527"/>
    <w:pPr>
      <w:numPr>
        <w:ilvl w:val="1"/>
        <w:numId w:val="31"/>
      </w:numPr>
      <w:ind w:left="510" w:hanging="510"/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72007"/>
  </w:style>
  <w:style w:type="paragraph" w:customStyle="1" w:styleId="Numberedtitlelevel4">
    <w:name w:val="Numbered title level 4"/>
    <w:basedOn w:val="Titlelevel4"/>
    <w:qFormat/>
    <w:rsid w:val="00BE6527"/>
    <w:pPr>
      <w:numPr>
        <w:ilvl w:val="2"/>
        <w:numId w:val="31"/>
      </w:numPr>
      <w:ind w:left="680" w:hanging="680"/>
    </w:pPr>
  </w:style>
  <w:style w:type="paragraph" w:styleId="Header">
    <w:name w:val="header"/>
    <w:basedOn w:val="Normal"/>
    <w:link w:val="HeaderChar"/>
    <w:uiPriority w:val="99"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AA7"/>
    <w:rPr>
      <w:sz w:val="22"/>
    </w:rPr>
  </w:style>
  <w:style w:type="paragraph" w:styleId="Title">
    <w:name w:val="Title"/>
    <w:basedOn w:val="Normal"/>
    <w:next w:val="Normal"/>
    <w:link w:val="TitleChar"/>
    <w:qFormat/>
    <w:rsid w:val="004719B4"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72007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4719B4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290DA3"/>
    <w:rPr>
      <w:rFonts w:asciiTheme="majorHAnsi" w:eastAsiaTheme="majorEastAsia" w:hAnsiTheme="majorHAnsi" w:cstheme="majorBidi"/>
      <w:color w:val="2F5773" w:themeColor="accent1"/>
      <w:sz w:val="32"/>
      <w:szCs w:val="32"/>
      <w:lang w:val="en-GB"/>
    </w:rPr>
  </w:style>
  <w:style w:type="character" w:styleId="BookTitle">
    <w:name w:val="Book Title"/>
    <w:basedOn w:val="DefaultParagraphFont"/>
    <w:uiPriority w:val="33"/>
    <w:semiHidden/>
    <w:qFormat/>
    <w:rsid w:val="000D7A4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55E0E"/>
    <w:rPr>
      <w:bCs/>
      <w:lang w:val="en-GB" w:eastAsia="en-GB"/>
    </w:rPr>
  </w:style>
  <w:style w:type="paragraph" w:styleId="ListBullet">
    <w:name w:val="List Bullet"/>
    <w:basedOn w:val="Normal"/>
    <w:semiHidden/>
    <w:qFormat/>
    <w:rsid w:val="00A304D0"/>
    <w:pPr>
      <w:numPr>
        <w:numId w:val="15"/>
      </w:numPr>
      <w:contextualSpacing/>
    </w:pPr>
  </w:style>
  <w:style w:type="character" w:styleId="Hyperlink">
    <w:name w:val="Hyperlink"/>
    <w:basedOn w:val="DefaultParagraphFont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link w:val="numberedparagraphChar"/>
    <w:qFormat/>
    <w:rsid w:val="00E22BCE"/>
    <w:pPr>
      <w:numPr>
        <w:numId w:val="8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Title3">
    <w:name w:val="Title 3"/>
    <w:basedOn w:val="Normal"/>
    <w:link w:val="Title3Char"/>
    <w:qFormat/>
    <w:rsid w:val="007E428E"/>
    <w:pPr>
      <w:spacing w:after="240"/>
      <w:ind w:left="425"/>
    </w:pPr>
    <w:rPr>
      <w:rFonts w:ascii="Arial" w:eastAsia="Times New Roman" w:hAnsi="Arial" w:cs="Times New Roman"/>
      <w:i/>
      <w:color w:val="000000"/>
      <w:szCs w:val="22"/>
      <w:lang w:eastAsia="en-GB"/>
    </w:rPr>
  </w:style>
  <w:style w:type="character" w:customStyle="1" w:styleId="Title3Char">
    <w:name w:val="Title 3 Char"/>
    <w:basedOn w:val="DefaultParagraphFont"/>
    <w:link w:val="Title3"/>
    <w:rsid w:val="007E428E"/>
    <w:rPr>
      <w:rFonts w:ascii="Arial" w:eastAsia="Times New Roman" w:hAnsi="Arial" w:cs="Times New Roman"/>
      <w:i/>
      <w:color w:val="000000"/>
      <w:sz w:val="22"/>
      <w:szCs w:val="22"/>
      <w:lang w:val="en-GB" w:eastAsia="en-GB"/>
    </w:rPr>
  </w:style>
  <w:style w:type="paragraph" w:styleId="ListParagraph">
    <w:name w:val="List Paragraph"/>
    <w:basedOn w:val="Normal"/>
    <w:uiPriority w:val="1"/>
    <w:qFormat/>
    <w:rsid w:val="0017676B"/>
    <w:pPr>
      <w:ind w:left="720"/>
      <w:contextualSpacing/>
    </w:pPr>
  </w:style>
  <w:style w:type="paragraph" w:customStyle="1" w:styleId="BodyText">
    <w:name w:val="BodyText"/>
    <w:basedOn w:val="Normal"/>
    <w:link w:val="BodyTextChar"/>
    <w:qFormat/>
    <w:rsid w:val="001A236F"/>
    <w:pPr>
      <w:spacing w:after="240"/>
      <w:ind w:left="425"/>
    </w:pPr>
    <w:rPr>
      <w:rFonts w:ascii="Arial" w:eastAsia="Times New Roman" w:hAnsi="Arial" w:cs="Times New Roman"/>
      <w:color w:val="000000"/>
      <w:szCs w:val="22"/>
      <w:lang w:eastAsia="en-GB"/>
    </w:rPr>
  </w:style>
  <w:style w:type="character" w:customStyle="1" w:styleId="BodyTextChar">
    <w:name w:val="BodyText Char"/>
    <w:basedOn w:val="DefaultParagraphFont"/>
    <w:link w:val="BodyText"/>
    <w:rsid w:val="001A236F"/>
    <w:rPr>
      <w:rFonts w:ascii="Arial" w:eastAsia="Times New Roman" w:hAnsi="Arial" w:cs="Times New Roman"/>
      <w:color w:val="000000"/>
      <w:sz w:val="22"/>
      <w:szCs w:val="22"/>
      <w:lang w:val="en-GB" w:eastAsia="en-GB"/>
    </w:rPr>
  </w:style>
  <w:style w:type="paragraph" w:customStyle="1" w:styleId="Bullet10">
    <w:name w:val="Bullet 1"/>
    <w:basedOn w:val="Normal"/>
    <w:link w:val="Bullet1Car"/>
    <w:qFormat/>
    <w:rsid w:val="001A236F"/>
    <w:pPr>
      <w:numPr>
        <w:numId w:val="32"/>
      </w:numPr>
      <w:tabs>
        <w:tab w:val="clear" w:pos="432"/>
      </w:tabs>
      <w:spacing w:after="260" w:line="260" w:lineRule="exact"/>
      <w:ind w:left="1134" w:hanging="290"/>
      <w:jc w:val="both"/>
    </w:pPr>
    <w:rPr>
      <w:rFonts w:ascii="Arial" w:eastAsia="Times New Roman" w:hAnsi="Arial" w:cs="Times New Roman"/>
      <w:color w:val="000000"/>
      <w:szCs w:val="20"/>
    </w:rPr>
  </w:style>
  <w:style w:type="character" w:customStyle="1" w:styleId="Bullet1Car">
    <w:name w:val="Bullet 1 Car"/>
    <w:basedOn w:val="DefaultParagraphFont"/>
    <w:link w:val="Bullet10"/>
    <w:rsid w:val="001A236F"/>
    <w:rPr>
      <w:rFonts w:ascii="Arial" w:eastAsia="Times New Roman" w:hAnsi="Arial" w:cs="Times New Roman"/>
      <w:color w:val="000000"/>
      <w:sz w:val="22"/>
      <w:szCs w:val="20"/>
      <w:lang w:val="en-GB"/>
    </w:rPr>
  </w:style>
  <w:style w:type="paragraph" w:customStyle="1" w:styleId="Bullet1left">
    <w:name w:val="Bullet 1 left"/>
    <w:basedOn w:val="Bullet10"/>
    <w:link w:val="Bullet1leftChar"/>
    <w:qFormat/>
    <w:rsid w:val="00240789"/>
    <w:pPr>
      <w:numPr>
        <w:numId w:val="0"/>
      </w:numPr>
      <w:tabs>
        <w:tab w:val="num" w:pos="284"/>
      </w:tabs>
      <w:ind w:left="851" w:hanging="290"/>
    </w:pPr>
  </w:style>
  <w:style w:type="character" w:customStyle="1" w:styleId="Bullet1leftChar">
    <w:name w:val="Bullet 1 left Char"/>
    <w:basedOn w:val="Bullet1Car"/>
    <w:link w:val="Bullet1left"/>
    <w:rsid w:val="00240789"/>
    <w:rPr>
      <w:rFonts w:ascii="Arial" w:eastAsia="Times New Roman" w:hAnsi="Arial" w:cs="Times New Roman"/>
      <w:color w:val="000000"/>
      <w:sz w:val="22"/>
      <w:szCs w:val="20"/>
      <w:lang w:val="en-GB"/>
    </w:rPr>
  </w:style>
  <w:style w:type="paragraph" w:customStyle="1" w:styleId="Paragraph">
    <w:name w:val="Paragraph"/>
    <w:basedOn w:val="Normal"/>
    <w:link w:val="ParagraphChar"/>
    <w:qFormat/>
    <w:rsid w:val="00AE39E3"/>
    <w:pPr>
      <w:numPr>
        <w:numId w:val="34"/>
      </w:numPr>
      <w:spacing w:after="240"/>
      <w:jc w:val="both"/>
    </w:pPr>
    <w:rPr>
      <w:rFonts w:ascii="Arial" w:eastAsia="Times New Roman" w:hAnsi="Arial" w:cs="Arial"/>
      <w:color w:val="000000"/>
      <w:szCs w:val="22"/>
      <w:lang w:eastAsia="en-GB"/>
    </w:rPr>
  </w:style>
  <w:style w:type="character" w:customStyle="1" w:styleId="ParagraphChar">
    <w:name w:val="Paragraph Char"/>
    <w:basedOn w:val="DefaultParagraphFont"/>
    <w:link w:val="Paragraph"/>
    <w:rsid w:val="00892B01"/>
    <w:rPr>
      <w:rFonts w:ascii="Arial" w:eastAsia="Times New Roman" w:hAnsi="Arial" w:cs="Arial"/>
      <w:color w:val="000000"/>
      <w:sz w:val="22"/>
      <w:szCs w:val="22"/>
      <w:lang w:val="en-GB" w:eastAsia="en-GB"/>
    </w:rPr>
  </w:style>
  <w:style w:type="paragraph" w:customStyle="1" w:styleId="BodyText1">
    <w:name w:val="Body Text1"/>
    <w:basedOn w:val="Normal"/>
    <w:qFormat/>
    <w:rsid w:val="00892B01"/>
    <w:pPr>
      <w:tabs>
        <w:tab w:val="left" w:pos="0"/>
      </w:tabs>
      <w:spacing w:line="300" w:lineRule="exact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qFormat/>
    <w:rsid w:val="0041788D"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itle1sinnumerar">
    <w:name w:val="Title 1 sin numerar"/>
    <w:basedOn w:val="Normal"/>
    <w:link w:val="Title1sinnumerarCar"/>
    <w:qFormat/>
    <w:rsid w:val="00A774CB"/>
    <w:pPr>
      <w:spacing w:before="120" w:after="240"/>
      <w:ind w:left="425"/>
      <w:jc w:val="both"/>
    </w:pPr>
    <w:rPr>
      <w:rFonts w:ascii="Arial" w:eastAsia="Times New Roman" w:hAnsi="Arial" w:cs="Arial"/>
      <w:b/>
      <w:color w:val="000000"/>
      <w:sz w:val="28"/>
      <w:szCs w:val="22"/>
      <w:lang w:eastAsia="en-GB"/>
    </w:rPr>
  </w:style>
  <w:style w:type="character" w:customStyle="1" w:styleId="Title1sinnumerarCar">
    <w:name w:val="Title 1 sin numerar Car"/>
    <w:basedOn w:val="DefaultParagraphFont"/>
    <w:link w:val="Title1sinnumerar"/>
    <w:rsid w:val="00A774CB"/>
    <w:rPr>
      <w:rFonts w:ascii="Arial" w:eastAsia="Times New Roman" w:hAnsi="Arial" w:cs="Arial"/>
      <w:b/>
      <w:color w:val="000000"/>
      <w:sz w:val="28"/>
      <w:szCs w:val="22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rsid w:val="00232C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32C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2CB9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32C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CB9"/>
    <w:rPr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3E2018"/>
    <w:rPr>
      <w:sz w:val="22"/>
      <w:lang w:val="en-GB"/>
    </w:rPr>
  </w:style>
  <w:style w:type="character" w:customStyle="1" w:styleId="numberedparagraphChar">
    <w:name w:val="numbered paragraph Char"/>
    <w:basedOn w:val="DefaultParagraphFont"/>
    <w:link w:val="numberedparagraph"/>
    <w:rsid w:val="002A658C"/>
    <w:rPr>
      <w:sz w:val="22"/>
    </w:rPr>
  </w:style>
  <w:style w:type="paragraph" w:customStyle="1" w:styleId="TableParagraph">
    <w:name w:val="Table Paragraph"/>
    <w:basedOn w:val="Normal"/>
    <w:uiPriority w:val="1"/>
    <w:qFormat/>
    <w:rsid w:val="006B4F99"/>
    <w:pPr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paragraph" w:customStyle="1" w:styleId="Default">
    <w:name w:val="Default"/>
    <w:rsid w:val="003E62AD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8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A4B996-E6D3-4F0E-8477-2751A7C3E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amarcelo</dc:creator>
  <cp:lastModifiedBy>Clara Garcia</cp:lastModifiedBy>
  <cp:revision>15</cp:revision>
  <cp:lastPrinted>2017-12-06T15:39:00Z</cp:lastPrinted>
  <dcterms:created xsi:type="dcterms:W3CDTF">2017-12-06T16:12:00Z</dcterms:created>
  <dcterms:modified xsi:type="dcterms:W3CDTF">2018-10-19T10:59:00Z</dcterms:modified>
</cp:coreProperties>
</file>